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AF33B">
      <w:pPr>
        <w:spacing w:after="360"/>
        <w:rPr>
          <w:rFonts w:hint="default" w:ascii="Segoe UI" w:hAnsi="Segoe UI" w:cs="Segoe UI"/>
          <w:b/>
          <w:color w:val="FF636C"/>
          <w:sz w:val="48"/>
          <w:lang w:val="en-US"/>
        </w:rPr>
      </w:pPr>
      <w:bookmarkStart w:id="0" w:name="_GoBack"/>
      <w:bookmarkEnd w:id="0"/>
      <w:r>
        <w:rPr>
          <w:rFonts w:hint="default" w:ascii="Segoe UI" w:hAnsi="Segoe UI" w:cs="Segoe UI"/>
          <w:b/>
          <w:color w:val="FF636C"/>
          <w:sz w:val="48"/>
          <w:lang w:val="en-US"/>
        </w:rPr>
        <w:t>Data Flow Diagram</w:t>
      </w:r>
    </w:p>
    <w:p w14:paraId="3D5C9C26">
      <w:pPr>
        <w:spacing w:before="240" w:after="120"/>
        <w:rPr>
          <w:rFonts w:hint="default" w:ascii="Segoe UI" w:hAnsi="Segoe UI" w:cs="Segoe UI"/>
          <w:b/>
          <w:color w:val="FF636C"/>
          <w:sz w:val="36"/>
          <w:lang w:val="en-US"/>
        </w:rPr>
      </w:pPr>
      <w:r>
        <w:rPr>
          <w:rFonts w:hint="default" w:ascii="Segoe UI" w:hAnsi="Segoe UI" w:cs="Segoe UI"/>
          <w:b/>
          <w:color w:val="FF636C"/>
          <w:sz w:val="36"/>
          <w:lang w:val="en-US"/>
        </w:rPr>
        <w:t>1. Level 1 Data Flow Diagram (DFD)</w:t>
      </w:r>
    </w:p>
    <w:p w14:paraId="0748014C">
      <w:pPr>
        <w:spacing w:after="12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Data moves from the user interface, validates through WTForms modules, passes to the ML preprocessing pipeline, saves to the SQLite database, and persists to PDF certificates:</w:t>
      </w:r>
    </w:p>
    <w:p w14:paraId="42E64A5B">
      <w:pPr>
        <w:rPr>
          <w:rFonts w:hint="default"/>
          <w:lang w:val="en-US"/>
        </w:rPr>
      </w:pPr>
    </w:p>
    <w:p w14:paraId="39419B7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080000" cy="2195830"/>
            <wp:effectExtent l="0" t="0" r="10160" b="13970"/>
            <wp:docPr id="1" name="Picture 1" descr="data_flow_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ata_flow_diagram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3AFD1">
      <w:pPr>
        <w:spacing w:before="240" w:after="120"/>
        <w:rPr>
          <w:rFonts w:hint="default" w:ascii="Segoe UI" w:hAnsi="Segoe UI" w:cs="Segoe UI"/>
          <w:b/>
          <w:color w:val="FFE500"/>
          <w:sz w:val="28"/>
          <w:lang w:val="en-US"/>
        </w:rPr>
      </w:pPr>
      <w:r>
        <w:rPr>
          <w:rFonts w:hint="default" w:ascii="Segoe UI" w:hAnsi="Segoe UI" w:cs="Segoe UI"/>
          <w:b/>
          <w:color w:val="FFE500"/>
          <w:sz w:val="28"/>
          <w:lang w:val="en-US"/>
        </w:rPr>
        <w:t>2. Process Definitions</w:t>
      </w:r>
    </w:p>
    <w:p w14:paraId="4EA52D75">
      <w:pPr>
        <w:spacing w:after="60"/>
        <w:ind w:left="36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• Process 1.0 (Validation): Sanitizes inputs (DTI, Age, Family Members).</w:t>
      </w:r>
    </w:p>
    <w:p w14:paraId="304E0D9C">
      <w:pPr>
        <w:spacing w:after="60"/>
        <w:ind w:left="36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• Process 2.0 (Inference): Applies scaling and caps outliers to match XGBoost/Logistic Regression formats.</w:t>
      </w:r>
    </w:p>
    <w:p w14:paraId="6CDC6611">
      <w:pPr>
        <w:spacing w:after="60"/>
        <w:ind w:left="36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• Process 3.0 (Explainability): Runs local surrogate evaluations once per transaction.</w:t>
      </w:r>
    </w:p>
    <w:p w14:paraId="3A4E3E67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CB44B1"/>
    <w:rsid w:val="6BCB4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2026-07-05T08:07:00Z</dcterms:created>
  <dc:creator>Lenovo</dc:creator>
  <cp:lastModifiedBy>Lenovo</cp:lastModifiedBy>
  <dcterms:modified xsi:type="dcterms:W3CDTF">2026-07-05T08:07:05Z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854F94A3E7A94E6E96C9EADB621C3CB7_11</vt:lpwstr>
  </property>
</Properties>
</file>