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5F4EB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Technology Stack</w:t>
      </w:r>
    </w:p>
    <w:p w14:paraId="56977674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System Technology Layout</w:t>
      </w:r>
    </w:p>
    <w:p w14:paraId="392C5636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CreditGuard AI leverages modern frameworks to maintain a stateless, lightweight deployment suitable for serverless platforms:</w:t>
      </w:r>
    </w:p>
    <w:p w14:paraId="4DE6CC33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3BC54EB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322016"/>
          </w:tcPr>
          <w:p w14:paraId="66F296D4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Layer</w:t>
            </w:r>
          </w:p>
        </w:tc>
        <w:tc>
          <w:tcPr>
            <w:tcW w:w="2841" w:type="dxa"/>
            <w:shd w:val="clear" w:color="auto" w:fill="322016"/>
          </w:tcPr>
          <w:p w14:paraId="0D876F0B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Technology Option</w:t>
            </w:r>
          </w:p>
        </w:tc>
        <w:tc>
          <w:tcPr>
            <w:tcW w:w="2841" w:type="dxa"/>
            <w:shd w:val="clear" w:color="auto" w:fill="322016"/>
          </w:tcPr>
          <w:p w14:paraId="7291B2B9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Reasoning / Choice</w:t>
            </w:r>
          </w:p>
        </w:tc>
      </w:tr>
      <w:tr w14:paraId="7C96416D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157A5671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Frontend UI</w:t>
            </w:r>
          </w:p>
        </w:tc>
        <w:tc>
          <w:tcPr>
            <w:tcW w:w="2841" w:type="dxa"/>
            <w:shd w:val="clear" w:color="auto" w:fill="F6F4F3"/>
          </w:tcPr>
          <w:p w14:paraId="0F50C05A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HTML5, Vanilla CSS, JS</w:t>
            </w:r>
          </w:p>
        </w:tc>
        <w:tc>
          <w:tcPr>
            <w:tcW w:w="2841" w:type="dxa"/>
            <w:shd w:val="clear" w:color="auto" w:fill="F6F4F3"/>
          </w:tcPr>
          <w:p w14:paraId="7639BD39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Maximum flexibility, smooth animations, no heavy frameworks</w:t>
            </w:r>
          </w:p>
        </w:tc>
      </w:tr>
      <w:tr w14:paraId="18A4310C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B963C23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Application Engine</w:t>
            </w:r>
          </w:p>
        </w:tc>
        <w:tc>
          <w:tcPr>
            <w:tcW w:w="2841" w:type="dxa"/>
          </w:tcPr>
          <w:p w14:paraId="39B3732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Flask 3.0.x</w:t>
            </w:r>
          </w:p>
        </w:tc>
        <w:tc>
          <w:tcPr>
            <w:tcW w:w="2841" w:type="dxa"/>
          </w:tcPr>
          <w:p w14:paraId="313B2814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Lightweight Python WSGI controller suited for API routes</w:t>
            </w:r>
          </w:p>
        </w:tc>
      </w:tr>
      <w:tr w14:paraId="74157A81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69AD943E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Storage Persistence</w:t>
            </w:r>
          </w:p>
        </w:tc>
        <w:tc>
          <w:tcPr>
            <w:tcW w:w="2841" w:type="dxa"/>
            <w:shd w:val="clear" w:color="auto" w:fill="F6F4F3"/>
          </w:tcPr>
          <w:p w14:paraId="0497EB7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SQLite 3.x / /tmp</w:t>
            </w:r>
          </w:p>
        </w:tc>
        <w:tc>
          <w:tcPr>
            <w:tcW w:w="2841" w:type="dxa"/>
            <w:shd w:val="clear" w:color="auto" w:fill="F6F4F3"/>
          </w:tcPr>
          <w:p w14:paraId="0E7B70C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Dynamic serverless database logs, redirected to writable directories</w:t>
            </w:r>
          </w:p>
        </w:tc>
      </w:tr>
      <w:tr w14:paraId="40EC3BFE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99F2DCA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Modeling Libraries</w:t>
            </w:r>
          </w:p>
        </w:tc>
        <w:tc>
          <w:tcPr>
            <w:tcW w:w="2841" w:type="dxa"/>
          </w:tcPr>
          <w:p w14:paraId="134B8FF4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Scikit-Learn, Pandas</w:t>
            </w:r>
          </w:p>
        </w:tc>
        <w:tc>
          <w:tcPr>
            <w:tcW w:w="2841" w:type="dxa"/>
          </w:tcPr>
          <w:p w14:paraId="6A5D18E1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Advanced ML preprocessing pipelines and Logistic Regression</w:t>
            </w:r>
          </w:p>
        </w:tc>
      </w:tr>
      <w:tr w14:paraId="601C48AE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2DE910E8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Hosting Environment</w:t>
            </w:r>
          </w:p>
        </w:tc>
        <w:tc>
          <w:tcPr>
            <w:tcW w:w="2841" w:type="dxa"/>
            <w:shd w:val="clear" w:color="auto" w:fill="F6F4F3"/>
          </w:tcPr>
          <w:p w14:paraId="1A5C14D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Vercel Serverless</w:t>
            </w:r>
          </w:p>
        </w:tc>
        <w:tc>
          <w:tcPr>
            <w:tcW w:w="2841" w:type="dxa"/>
            <w:shd w:val="clear" w:color="auto" w:fill="F6F4F3"/>
          </w:tcPr>
          <w:p w14:paraId="6438E1B5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High availability, zero-maintenance global scaling</w:t>
            </w:r>
          </w:p>
        </w:tc>
      </w:tr>
    </w:tbl>
    <w:p w14:paraId="25CA43BA">
      <w:pPr>
        <w:rPr>
          <w:rFonts w:hint="default"/>
          <w:lang w:val="en-US"/>
        </w:rPr>
      </w:pPr>
    </w:p>
    <w:p w14:paraId="21163B9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4112D"/>
    <w:rsid w:val="1664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908A0D9BEE0B4D198204B74FC38DE9B1_11</vt:lpwstr>
  </property>
</Properties>
</file>