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A62C2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Problem Solution Fit</w:t>
      </w:r>
    </w:p>
    <w:p w14:paraId="268E9050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Product Value Proposition</w:t>
      </w:r>
    </w:p>
    <w:p w14:paraId="46CDE817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We map the identified customer pain points to feature solutions built directly into CreditGuard AI:</w:t>
      </w:r>
    </w:p>
    <w:p w14:paraId="7BA67BC8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B09F066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322016"/>
          </w:tcPr>
          <w:p w14:paraId="54F0E359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Customer Pain Point</w:t>
            </w:r>
          </w:p>
        </w:tc>
        <w:tc>
          <w:tcPr>
            <w:tcW w:w="2841" w:type="dxa"/>
            <w:shd w:val="clear" w:color="auto" w:fill="322016"/>
          </w:tcPr>
          <w:p w14:paraId="70E0B880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System Feature Solution</w:t>
            </w:r>
          </w:p>
        </w:tc>
        <w:tc>
          <w:tcPr>
            <w:tcW w:w="2841" w:type="dxa"/>
            <w:shd w:val="clear" w:color="auto" w:fill="322016"/>
          </w:tcPr>
          <w:p w14:paraId="0E8C7A19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Delivered Value</w:t>
            </w:r>
          </w:p>
        </w:tc>
      </w:tr>
      <w:tr w14:paraId="063EFD42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4912E09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Slow approvals</w:t>
            </w:r>
          </w:p>
        </w:tc>
        <w:tc>
          <w:tcPr>
            <w:tcW w:w="2841" w:type="dxa"/>
            <w:shd w:val="clear" w:color="auto" w:fill="F6F4F3"/>
          </w:tcPr>
          <w:p w14:paraId="69C652FE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Instant ML Scoring Engine</w:t>
            </w:r>
          </w:p>
        </w:tc>
        <w:tc>
          <w:tcPr>
            <w:tcW w:w="2841" w:type="dxa"/>
            <w:shd w:val="clear" w:color="auto" w:fill="F6F4F3"/>
          </w:tcPr>
          <w:p w14:paraId="26F7020A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Assessment in under 10ms</w:t>
            </w:r>
          </w:p>
        </w:tc>
      </w:tr>
      <w:tr w14:paraId="127561CB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EBA1B56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Black-box predictions</w:t>
            </w:r>
          </w:p>
        </w:tc>
        <w:tc>
          <w:tcPr>
            <w:tcW w:w="2841" w:type="dxa"/>
          </w:tcPr>
          <w:p w14:paraId="3AD7D610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LIME Explainability Engine</w:t>
            </w:r>
          </w:p>
        </w:tc>
        <w:tc>
          <w:tcPr>
            <w:tcW w:w="2841" w:type="dxa"/>
          </w:tcPr>
          <w:p w14:paraId="2025F847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Transparent risk factor breakdown</w:t>
            </w:r>
          </w:p>
        </w:tc>
      </w:tr>
      <w:tr w14:paraId="107338BC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40FF1D1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Loss of session logs</w:t>
            </w:r>
          </w:p>
        </w:tc>
        <w:tc>
          <w:tcPr>
            <w:tcW w:w="2841" w:type="dxa"/>
            <w:shd w:val="clear" w:color="auto" w:fill="F6F4F3"/>
          </w:tcPr>
          <w:p w14:paraId="23C893E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SQLite DB Log persistence</w:t>
            </w:r>
          </w:p>
        </w:tc>
        <w:tc>
          <w:tcPr>
            <w:tcW w:w="2841" w:type="dxa"/>
            <w:shd w:val="clear" w:color="auto" w:fill="F6F4F3"/>
          </w:tcPr>
          <w:p w14:paraId="290BAF17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Consolidated history records logs</w:t>
            </w:r>
          </w:p>
        </w:tc>
      </w:tr>
      <w:tr w14:paraId="05C7352D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7C1B9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Security vulnerabilities</w:t>
            </w:r>
          </w:p>
        </w:tc>
        <w:tc>
          <w:tcPr>
            <w:tcW w:w="2841" w:type="dxa"/>
          </w:tcPr>
          <w:p w14:paraId="52212886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scrypt encryption &amp; csrf</w:t>
            </w:r>
          </w:p>
        </w:tc>
        <w:tc>
          <w:tcPr>
            <w:tcW w:w="2841" w:type="dxa"/>
          </w:tcPr>
          <w:p w14:paraId="2D1B49E0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Enterprise security compliance</w:t>
            </w:r>
          </w:p>
        </w:tc>
      </w:tr>
    </w:tbl>
    <w:p w14:paraId="08E5E4CB">
      <w:pPr>
        <w:rPr>
          <w:rFonts w:hint="default"/>
          <w:lang w:val="en-US"/>
        </w:rPr>
      </w:pPr>
    </w:p>
    <w:p w14:paraId="4127049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408AE"/>
    <w:rsid w:val="75B4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475BC140EEBA41EB80C1EC56D7EA3926_11</vt:lpwstr>
  </property>
</Properties>
</file>