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2BF8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Proposed Solution</w:t>
      </w:r>
    </w:p>
    <w:p w14:paraId="06266047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Proposed Architecture Overview</w:t>
      </w:r>
    </w:p>
    <w:p w14:paraId="32EAA74C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proposed solution wraps the predictive scikit-learn models inside a state-of-the-art Python Flask MVC architecture. We incorporate a multi-step user onboarding interface, full-page loading indicators, dynamic theme preference persistence via localStorage, and a print-ready PDF certificate generator complete with automated QR validation links.</w:t>
      </w:r>
    </w:p>
    <w:p w14:paraId="0A689431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2. Expected Metrics</w:t>
      </w:r>
    </w:p>
    <w:p w14:paraId="1B3B5030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Pipeline latency: &lt;15ms per request.</w:t>
      </w:r>
    </w:p>
    <w:p w14:paraId="330A8996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Scoring precision: &gt;85% balanced accuracy.</w:t>
      </w:r>
    </w:p>
    <w:p w14:paraId="752261AD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Serverless footprint: &lt;245 MB bundle size.</w:t>
      </w:r>
    </w:p>
    <w:p w14:paraId="2E737C2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C65AC"/>
    <w:rsid w:val="505C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8174DDC1B0444933A7034D61F2FC3E7A_11</vt:lpwstr>
  </property>
</Properties>
</file>