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5D03F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Code Layout, Readability &amp; Reusability</w:t>
      </w:r>
    </w:p>
    <w:p w14:paraId="2BA0DBAF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Directory Structure Organization</w:t>
      </w:r>
    </w:p>
    <w:p w14:paraId="6409AEDE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To maintain clean code parameters, code blocks are organized under modular directory structures:</w:t>
      </w:r>
    </w:p>
    <w:p w14:paraId="6A064D7D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04A58A1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322016"/>
          </w:tcPr>
          <w:p w14:paraId="40F05982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Folder</w:t>
            </w:r>
          </w:p>
        </w:tc>
        <w:tc>
          <w:tcPr>
            <w:tcW w:w="4261" w:type="dxa"/>
            <w:shd w:val="clear" w:color="auto" w:fill="322016"/>
          </w:tcPr>
          <w:p w14:paraId="1C48B71C">
            <w:pP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b/>
                <w:color w:val="FFFFFF"/>
                <w:vertAlign w:val="baseline"/>
                <w:lang w:val="en-US"/>
              </w:rPr>
              <w:t>Description</w:t>
            </w:r>
          </w:p>
        </w:tc>
      </w:tr>
      <w:tr w14:paraId="5A62518C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1878A593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/app/routes/</w:t>
            </w:r>
          </w:p>
        </w:tc>
        <w:tc>
          <w:tcPr>
            <w:tcW w:w="4261" w:type="dxa"/>
            <w:shd w:val="clear" w:color="auto" w:fill="F6F4F3"/>
          </w:tcPr>
          <w:p w14:paraId="45BBCCFD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Flask route controllers for authentication and application logic</w:t>
            </w:r>
          </w:p>
        </w:tc>
      </w:tr>
      <w:tr w14:paraId="2C843F10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4DBD56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/app/services/</w:t>
            </w:r>
          </w:p>
        </w:tc>
        <w:tc>
          <w:tcPr>
            <w:tcW w:w="4261" w:type="dxa"/>
          </w:tcPr>
          <w:p w14:paraId="40EEC400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Core machine learning inference and explainability calculators</w:t>
            </w:r>
          </w:p>
        </w:tc>
      </w:tr>
      <w:tr w14:paraId="780DD20F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40812936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/app/database/</w:t>
            </w:r>
          </w:p>
        </w:tc>
        <w:tc>
          <w:tcPr>
            <w:tcW w:w="4261" w:type="dxa"/>
            <w:shd w:val="clear" w:color="auto" w:fill="F6F4F3"/>
          </w:tcPr>
          <w:p w14:paraId="30872429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SQLite model logs, tables initialization, and users management</w:t>
            </w:r>
          </w:p>
        </w:tc>
      </w:tr>
      <w:tr w14:paraId="1CEA20CA">
        <w:tblPrEx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07B0A1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/app/utils/</w:t>
            </w:r>
          </w:p>
        </w:tc>
        <w:tc>
          <w:tcPr>
            <w:tcW w:w="4261" w:type="dxa"/>
          </w:tcPr>
          <w:p w14:paraId="2BB1446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Helper scripts, logger wrappers, and rate-limiting modules</w:t>
            </w:r>
          </w:p>
        </w:tc>
      </w:tr>
      <w:tr w14:paraId="1A571933">
        <w:tblPrEx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F6F4F3"/>
          </w:tcPr>
          <w:p w14:paraId="043CE144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/config/</w:t>
            </w:r>
          </w:p>
        </w:tc>
        <w:tc>
          <w:tcPr>
            <w:tcW w:w="4261" w:type="dxa"/>
            <w:shd w:val="clear" w:color="auto" w:fill="F6F4F3"/>
          </w:tcPr>
          <w:p w14:paraId="7C89198F">
            <w:pPr>
              <w:rPr>
                <w:rFonts w:hint="default" w:ascii="Segoe UI" w:hAnsi="Segoe UI" w:cs="Segoe UI"/>
                <w:vertAlign w:val="baseline"/>
                <w:lang w:val="en-US"/>
              </w:rPr>
            </w:pPr>
            <w:r>
              <w:rPr>
                <w:rFonts w:hint="default" w:ascii="Segoe UI" w:hAnsi="Segoe UI" w:cs="Segoe UI"/>
                <w:vertAlign w:val="baseline"/>
                <w:lang w:val="en-US"/>
              </w:rPr>
              <w:t>Environment config objects (development, production, testing)</w:t>
            </w:r>
          </w:p>
        </w:tc>
      </w:tr>
    </w:tbl>
    <w:p w14:paraId="5C1386C5">
      <w:pPr>
        <w:rPr>
          <w:rFonts w:hint="default"/>
          <w:lang w:val="en-US"/>
        </w:rPr>
      </w:pPr>
    </w:p>
    <w:p w14:paraId="0ED59DF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BE6D03"/>
    <w:rsid w:val="74BE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30F5C69F3BCE434497DBE9FADF24BEE1_11</vt:lpwstr>
  </property>
</Properties>
</file>