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3B7BD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Coding &amp; Solution</w:t>
      </w:r>
    </w:p>
    <w:p w14:paraId="7915C12D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Serverless Gateway Handler (`index.py`)</w:t>
      </w:r>
    </w:p>
    <w:p w14:paraId="7224084F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serverless execution starts at root-level `index.py`. It adds the development folder path to `sys.path`, loads the environmental variables, imports the global Flask instance, and maps Vercel serverless request inputs dynamically:</w:t>
      </w:r>
    </w:p>
    <w:p w14:paraId="302C1056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Database Initialization Logic</w:t>
      </w:r>
    </w:p>
    <w:p w14:paraId="66DD952F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database manager utilizes safe SQLite column migrations, allowing columns to be altered dynamically without breaking older schemas:</w:t>
      </w:r>
    </w:p>
    <w:p w14:paraId="54E468D0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Alters users table to add name, role, last_login, and status.</w:t>
      </w:r>
    </w:p>
    <w:p w14:paraId="1E06208A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Seeds default demo credentials with secure scrypt hashing.</w:t>
      </w:r>
    </w:p>
    <w:p w14:paraId="23E5AE4F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Ensures read-only environments run cleanly by catching write errors.</w:t>
      </w:r>
    </w:p>
    <w:p w14:paraId="79CC268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92F47"/>
    <w:rsid w:val="51E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6E5CEB6D6D1F450CA36BF73967F70493_11</vt:lpwstr>
  </property>
</Properties>
</file>