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DC18E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Scalability &amp; Future Plan</w:t>
      </w:r>
    </w:p>
    <w:p w14:paraId="130EFE73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Cloud Database Migration (PostgreSQL / Supabase)</w:t>
      </w:r>
    </w:p>
    <w:p w14:paraId="01F83E14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To scale the platform beyond standard single-node serverless limits, future upgrades will replace local SQLite files with cloud-hosted PostgreSQL instances. This will enable concurrent user transactions and permanent data logs storage without size constraints.</w:t>
      </w:r>
    </w:p>
    <w:p w14:paraId="2E1C3A5E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2. Advanced ML Explainability</w:t>
      </w:r>
    </w:p>
    <w:p w14:paraId="1EADFD08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Integrate true SHAP (SHapley Additive exPlanations) or tree-explainer modules to increase the precision of the explainability pipeline for complex non-linear XGBoost classifiers.</w:t>
      </w:r>
    </w:p>
    <w:p w14:paraId="384EB13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A38A3"/>
    <w:rsid w:val="7BDA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F06AAC4609F84DEDA4055B7C7F8D835A_11</vt:lpwstr>
  </property>
</Properties>
</file>