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B2" w:rsidRPr="00A41959" w:rsidRDefault="00451BB2">
      <w:pPr>
        <w:rPr>
          <w:b/>
          <w:bCs/>
          <w:sz w:val="44"/>
          <w:szCs w:val="44"/>
        </w:rPr>
      </w:pPr>
      <w:r w:rsidRPr="00A41959">
        <w:rPr>
          <w:b/>
          <w:bCs/>
          <w:sz w:val="44"/>
          <w:szCs w:val="44"/>
        </w:rPr>
        <w:t xml:space="preserve">Loi exponentielle </w:t>
      </w:r>
    </w:p>
    <w:p w:rsidR="00FD28B8" w:rsidRPr="00A41959" w:rsidRDefault="00451BB2">
      <w:pPr>
        <w:rPr>
          <w:sz w:val="36"/>
          <w:szCs w:val="36"/>
        </w:rPr>
      </w:pPr>
      <w:r w:rsidRPr="00A41959">
        <w:rPr>
          <w:sz w:val="36"/>
          <w:szCs w:val="36"/>
        </w:rPr>
        <w:t>Présentation</w:t>
      </w:r>
      <w:r w:rsidR="00FD28B8" w:rsidRPr="00A41959">
        <w:rPr>
          <w:sz w:val="36"/>
          <w:szCs w:val="36"/>
        </w:rPr>
        <w:t> :</w:t>
      </w:r>
    </w:p>
    <w:p w:rsidR="00FD28B8" w:rsidRDefault="00451BB2">
      <w:r>
        <w:t xml:space="preserve">La loi exponentielle décrit la durée de vie d’un phénomène sans vieillissement (particule radio </w:t>
      </w:r>
      <w:proofErr w:type="gramStart"/>
      <w:r>
        <w:t>active ,</w:t>
      </w:r>
      <w:proofErr w:type="gramEnd"/>
      <w:r>
        <w:t xml:space="preserve"> temps d’attente ,…) </w:t>
      </w:r>
      <w:r w:rsidR="00AF639F">
        <w:t>elle aussi appelée loi de durée de vie sans vieillissement</w:t>
      </w:r>
      <w:r>
        <w:t>.</w:t>
      </w:r>
    </w:p>
    <w:p w:rsidR="00451BB2" w:rsidRPr="00A41959" w:rsidRDefault="00451BB2">
      <w:pPr>
        <w:rPr>
          <w:sz w:val="36"/>
          <w:szCs w:val="36"/>
        </w:rPr>
      </w:pPr>
      <w:r w:rsidRPr="00A41959">
        <w:rPr>
          <w:sz w:val="36"/>
          <w:szCs w:val="36"/>
        </w:rPr>
        <w:t>Définition :</w:t>
      </w:r>
    </w:p>
    <w:p w:rsidR="00451BB2" w:rsidRPr="00AF639F" w:rsidRDefault="00451BB2">
      <w:pPr>
        <w:rPr>
          <w:rStyle w:val="tgc"/>
          <w:sz w:val="44"/>
          <w:szCs w:val="44"/>
        </w:rPr>
      </w:pPr>
      <w:r>
        <w:t xml:space="preserve">La loi </w:t>
      </w:r>
      <w:r w:rsidR="00AF639F">
        <w:t xml:space="preserve">exponentielle de paramètre </w:t>
      </w:r>
      <w:r w:rsidR="00AF639F">
        <w:rPr>
          <w:rStyle w:val="tgc"/>
        </w:rPr>
        <w:t>λ</w:t>
      </w:r>
      <w:r w:rsidR="00AF639F">
        <w:rPr>
          <w:rStyle w:val="tgc"/>
        </w:rPr>
        <w:t xml:space="preserve"> sur [0 ; +</w:t>
      </w:r>
      <w:proofErr w:type="gramStart"/>
      <w:r w:rsidR="00AF639F">
        <w:rPr>
          <w:rStyle w:val="tgc"/>
          <w:rFonts w:cstheme="minorHAnsi"/>
        </w:rPr>
        <w:t>∞</w:t>
      </w:r>
      <w:r w:rsidR="00AF639F">
        <w:rPr>
          <w:rStyle w:val="tgc"/>
        </w:rPr>
        <w:t>[ par</w:t>
      </w:r>
      <w:proofErr w:type="gramEnd"/>
      <w:r w:rsidR="00AF639F">
        <w:rPr>
          <w:rStyle w:val="tgc"/>
        </w:rPr>
        <w:t xml:space="preserve"> </w:t>
      </w:r>
      <m:oMath>
        <m:r>
          <w:rPr>
            <w:rStyle w:val="tgc"/>
            <w:rFonts w:ascii="Cambria Math" w:hAnsi="Cambria Math"/>
          </w:rPr>
          <m:t>f</m:t>
        </m:r>
        <m:d>
          <m:dPr>
            <m:ctrlPr>
              <w:rPr>
                <w:rStyle w:val="tgc"/>
                <w:rFonts w:ascii="Cambria Math" w:hAnsi="Cambria Math"/>
                <w:i/>
              </w:rPr>
            </m:ctrlPr>
          </m:dPr>
          <m:e>
            <m:r>
              <w:rPr>
                <w:rStyle w:val="tgc"/>
                <w:rFonts w:ascii="Cambria Math" w:hAnsi="Cambria Math"/>
              </w:rPr>
              <m:t>x</m:t>
            </m:r>
          </m:e>
        </m:d>
        <m:r>
          <w:rPr>
            <w:rStyle w:val="tgc"/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tgc"/>
            <w:rFonts w:ascii="Cambria Math" w:hAnsi="Cambria Math"/>
          </w:rPr>
          <m:t>λ</m:t>
        </m:r>
        <m:sSup>
          <m:sSupPr>
            <m:ctrlPr>
              <w:rPr>
                <w:rStyle w:val="tgc"/>
                <w:rFonts w:ascii="Cambria Math"/>
              </w:rPr>
            </m:ctrlPr>
          </m:sSupPr>
          <m:e>
            <m:r>
              <w:rPr>
                <w:rStyle w:val="tgc"/>
                <w:rFonts w:ascii="Cambria Math"/>
              </w:rPr>
              <m:t>e</m:t>
            </m:r>
          </m:e>
          <m:sup>
            <m:r>
              <w:rPr>
                <w:rStyle w:val="tgc"/>
                <w:rFonts w:asci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Style w:val="tgc"/>
                <w:rFonts w:ascii="Cambria Math"/>
              </w:rPr>
              <m:t>x</m:t>
            </m:r>
          </m:sup>
        </m:sSup>
      </m:oMath>
      <w:r w:rsidR="00AF639F">
        <w:rPr>
          <w:rStyle w:val="tgc"/>
        </w:rPr>
        <w:t xml:space="preserve"> , ou </w:t>
      </w:r>
      <w:r w:rsidR="00AF639F">
        <w:rPr>
          <w:rStyle w:val="tgc"/>
        </w:rPr>
        <w:t>λ</w:t>
      </w:r>
      <w:r w:rsidR="00AF639F">
        <w:rPr>
          <w:rStyle w:val="tgc"/>
        </w:rPr>
        <w:t xml:space="preserve"> est un réel strictement positif autrement dit :</w:t>
      </w:r>
    </w:p>
    <w:p w:rsidR="00AF639F" w:rsidRPr="00AF639F" w:rsidRDefault="00AF639F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  <w:sz w:val="44"/>
                      <w:szCs w:val="44"/>
                    </w:rPr>
                    <m:t>λ</m:t>
                  </m:r>
                  <m:sSup>
                    <m:sSupPr>
                      <m:ctrlPr>
                        <w:rPr>
                          <w:rStyle w:val="tgc"/>
                          <w:rFonts w:asci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Style w:val="tgc"/>
                          <w:rFonts w:asci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r>
                        <w:rPr>
                          <w:rStyle w:val="tgc"/>
                          <w:rFonts w:ascii="Cambria Math"/>
                          <w:sz w:val="44"/>
                          <w:szCs w:val="4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/>
                          <w:sz w:val="44"/>
                          <w:szCs w:val="44"/>
                        </w:rPr>
                        <m:t>x</m:t>
                      </m:r>
                    </m:sup>
                  </m:sSup>
                  <m:r>
                    <w:rPr>
                      <w:rStyle w:val="tgc"/>
                      <w:rFonts w:ascii="Cambria Math"/>
                      <w:sz w:val="44"/>
                      <w:szCs w:val="44"/>
                    </w:rPr>
                    <m:t xml:space="preserve"> si 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  <w:sz w:val="44"/>
                      <w:szCs w:val="44"/>
                    </w:rPr>
                    <m:t>x≥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/>
                      <w:sz w:val="44"/>
                      <w:szCs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0  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        </m:t>
                  </m:r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si 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  <w:sz w:val="44"/>
                      <w:szCs w:val="44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/>
                      <w:sz w:val="44"/>
                      <w:szCs w:val="44"/>
                    </w:rPr>
                    <m:t>&lt;0</m:t>
                  </m:r>
                </m:e>
              </m:eqArr>
            </m:e>
          </m:d>
        </m:oMath>
      </m:oMathPara>
    </w:p>
    <w:p w:rsidR="00A41959" w:rsidRDefault="00A41959">
      <w:pPr>
        <w:rPr>
          <w:sz w:val="36"/>
          <w:szCs w:val="36"/>
        </w:rPr>
      </w:pPr>
      <w:r w:rsidRPr="00A41959">
        <w:rPr>
          <w:sz w:val="36"/>
          <w:szCs w:val="36"/>
        </w:rPr>
        <w:t xml:space="preserve">Propriété : </w:t>
      </w:r>
    </w:p>
    <w:p w:rsidR="00A41959" w:rsidRDefault="00A41959">
      <w:pPr>
        <w:rPr>
          <w:rStyle w:val="tgc"/>
          <w:rFonts w:cstheme="minorHAnsi"/>
        </w:rPr>
      </w:pPr>
      <w:r>
        <w:t xml:space="preserve">Pour </w:t>
      </w:r>
      <w:r w:rsidR="007A0EED">
        <w:t>une variable aléatoire T</w:t>
      </w:r>
      <w:r>
        <w:t xml:space="preserve"> qui suit une loi exponentielle de paramètre </w:t>
      </w:r>
      <w:r>
        <w:rPr>
          <w:rStyle w:val="tgc"/>
        </w:rPr>
        <w:t>λ</w:t>
      </w:r>
      <w:r>
        <w:rPr>
          <w:rStyle w:val="tgc"/>
        </w:rPr>
        <w:t xml:space="preserve"> sur [0 ; </w:t>
      </w:r>
      <w:r>
        <w:rPr>
          <w:rStyle w:val="tgc"/>
        </w:rPr>
        <w:t>+</w:t>
      </w:r>
      <w:proofErr w:type="gramStart"/>
      <w:r>
        <w:rPr>
          <w:rStyle w:val="tgc"/>
          <w:rFonts w:cstheme="minorHAnsi"/>
        </w:rPr>
        <w:t>∞</w:t>
      </w:r>
      <w:r>
        <w:rPr>
          <w:rStyle w:val="tgc"/>
          <w:rFonts w:cstheme="minorHAnsi"/>
        </w:rPr>
        <w:t>[ :</w:t>
      </w:r>
      <w:proofErr w:type="gramEnd"/>
    </w:p>
    <w:p w:rsidR="007A0EED" w:rsidRPr="007A0EED" w:rsidRDefault="00A41959" w:rsidP="007A0EED">
      <w:pPr>
        <w:pStyle w:val="ListParagraph"/>
        <w:numPr>
          <w:ilvl w:val="0"/>
          <w:numId w:val="2"/>
        </w:numPr>
        <w:rPr>
          <w:sz w:val="36"/>
          <w:szCs w:val="36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 xml:space="preserve"> ≤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t</m:t>
            </m:r>
          </m:sup>
        </m:sSup>
      </m:oMath>
      <w:r>
        <w:t xml:space="preserve">  </w:t>
      </w:r>
      <w:r w:rsidR="007A0EED">
        <w:t xml:space="preserve"> </w:t>
      </w:r>
    </w:p>
    <w:p w:rsidR="007A0EED" w:rsidRDefault="008274DE" w:rsidP="007A0E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0EED">
        <w:rPr>
          <w:sz w:val="24"/>
          <w:szCs w:val="24"/>
        </w:rPr>
        <w:t>Démonstration</w:t>
      </w:r>
      <w:r w:rsidR="007A0EED">
        <w:rPr>
          <w:sz w:val="24"/>
          <w:szCs w:val="24"/>
        </w:rPr>
        <w:t xml:space="preserve"> : </w:t>
      </w:r>
    </w:p>
    <w:p w:rsidR="007A0EED" w:rsidRDefault="007A0EED" w:rsidP="007A0EED">
      <w:pPr>
        <w:pStyle w:val="ListParagraph"/>
        <w:ind w:left="21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T≤t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  <m:sSup>
              <m:sSupPr>
                <m:ctrlPr>
                  <w:rPr>
                    <w:rStyle w:val="tgc"/>
                    <w:rFonts w:ascii="Cambria Math" w:hAnsi="Cambria Math"/>
                  </w:rPr>
                </m:ctrlPr>
              </m:sSupPr>
              <m:e>
                <m:r>
                  <w:rPr>
                    <w:rStyle w:val="tgc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tgc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>x</m:t>
                </m:r>
              </m:sup>
            </m:sSup>
            <m:r>
              <w:rPr>
                <w:rStyle w:val="tgc"/>
                <w:rFonts w:ascii="Cambria Math" w:hAnsi="Cambria Math"/>
              </w:rPr>
              <m:t>dx=</m:t>
            </m:r>
            <m:r>
              <w:rPr>
                <w:rStyle w:val="tgc"/>
                <w:rFonts w:ascii="Cambria Math" w:hAnsi="Cambria Math"/>
              </w:rPr>
              <m:t>[-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Style w:val="tgc"/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tgc"/>
                        <w:rFonts w:ascii="Cambria Math" w:hAnsi="Cambria Math"/>
                      </w:rPr>
                      <m:t>λ</m:t>
                    </m:r>
                    <m:r>
                      <w:rPr>
                        <w:rStyle w:val="tgc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tgc"/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Style w:val="tgc"/>
                        <w:rFonts w:ascii="Cambria Math" w:hAnsi="Cambria Math"/>
                      </w:rPr>
                      <m:t>λx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>λ</m:t>
                </m:r>
              </m:den>
            </m:f>
            <m:r>
              <w:rPr>
                <w:rStyle w:val="tgc"/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Style w:val="tgc"/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Style w:val="tgc"/>
                    <w:rFonts w:ascii="Cambria Math" w:hAnsi="Cambria Math"/>
                  </w:rPr>
                  <m:t>]</m:t>
                </m:r>
              </m:e>
              <m:sub>
                <m:r>
                  <w:rPr>
                    <w:rStyle w:val="tgc"/>
                    <w:rFonts w:ascii="Cambria Math" w:hAnsi="Cambria Math"/>
                  </w:rPr>
                  <m:t>0</m:t>
                </m:r>
              </m:sub>
              <m:sup>
                <m:r>
                  <w:rPr>
                    <w:rStyle w:val="tgc"/>
                    <w:rFonts w:ascii="Cambria Math" w:hAnsi="Cambria Math"/>
                  </w:rPr>
                  <m:t>t</m:t>
                </m:r>
              </m:sup>
            </m:sSubSup>
            <m:r>
              <w:rPr>
                <w:rStyle w:val="tgc"/>
                <w:rFonts w:ascii="Cambria Math" w:hAnsi="Cambria Math"/>
              </w:rPr>
              <m:t>= -</m:t>
            </m:r>
            <m:sSup>
              <m:sSupPr>
                <m:ctrlPr>
                  <w:rPr>
                    <w:rStyle w:val="tgc"/>
                    <w:rFonts w:ascii="Cambria Math" w:hAnsi="Cambria Math"/>
                  </w:rPr>
                </m:ctrlPr>
              </m:sSupPr>
              <m:e>
                <m:r>
                  <w:rPr>
                    <w:rStyle w:val="tgc"/>
                    <w:rFonts w:ascii="Cambria Math" w:hAnsi="Cambria Math"/>
                  </w:rPr>
                  <m:t>e</m:t>
                </m:r>
              </m:e>
              <m:sup>
                <m:r>
                  <w:rPr>
                    <w:rStyle w:val="tgc"/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>t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+1=1-</m:t>
        </m:r>
        <m:sSup>
          <m:sSupPr>
            <m:ctrlPr>
              <w:rPr>
                <w:rStyle w:val="tgc"/>
                <w:rFonts w:ascii="Cambria Math" w:hAnsi="Cambria Math"/>
              </w:rPr>
            </m:ctrlPr>
          </m:sSupPr>
          <m:e>
            <m:r>
              <w:rPr>
                <w:rStyle w:val="tgc"/>
                <w:rFonts w:ascii="Cambria Math" w:hAnsi="Cambria Math"/>
              </w:rPr>
              <m:t>e</m:t>
            </m:r>
          </m:e>
          <m:sup>
            <m:r>
              <w:rPr>
                <w:rStyle w:val="tgc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t</m:t>
            </m:r>
          </m:sup>
        </m:sSup>
      </m:oMath>
      <w:r w:rsidR="00D91D83">
        <w:rPr>
          <w:sz w:val="24"/>
          <w:szCs w:val="24"/>
        </w:rPr>
        <w:t xml:space="preserve"> </w:t>
      </w:r>
    </w:p>
    <w:p w:rsidR="008274DE" w:rsidRDefault="008274DE" w:rsidP="007A0EED">
      <w:pPr>
        <w:pStyle w:val="ListParagraph"/>
        <w:ind w:left="2160"/>
        <w:rPr>
          <w:sz w:val="24"/>
          <w:szCs w:val="24"/>
        </w:rPr>
      </w:pPr>
    </w:p>
    <w:p w:rsidR="008274DE" w:rsidRPr="008274DE" w:rsidRDefault="008274DE" w:rsidP="008274DE">
      <w:pPr>
        <w:pStyle w:val="ListParagraph"/>
        <w:numPr>
          <w:ilvl w:val="0"/>
          <w:numId w:val="2"/>
        </w:numPr>
        <w:rPr>
          <w:rStyle w:val="tgc"/>
          <w:sz w:val="36"/>
          <w:szCs w:val="36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 xml:space="preserve"> &gt;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Style w:val="tgc"/>
                <w:rFonts w:ascii="Cambria Math" w:hAnsi="Cambria Math"/>
              </w:rPr>
            </m:ctrlPr>
          </m:sSupPr>
          <m:e>
            <m:r>
              <w:rPr>
                <w:rStyle w:val="tgc"/>
                <w:rFonts w:ascii="Cambria Math" w:hAnsi="Cambria Math"/>
              </w:rPr>
              <m:t>e</m:t>
            </m:r>
          </m:e>
          <m:sup>
            <m:r>
              <w:rPr>
                <w:rStyle w:val="tgc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t</m:t>
            </m:r>
          </m:sup>
        </m:sSup>
      </m:oMath>
    </w:p>
    <w:p w:rsidR="008274DE" w:rsidRPr="008274DE" w:rsidRDefault="008274DE" w:rsidP="008274D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24"/>
          <w:szCs w:val="24"/>
        </w:rPr>
        <w:t xml:space="preserve">Démonstration : </w:t>
      </w:r>
    </w:p>
    <w:p w:rsidR="008274DE" w:rsidRDefault="008274DE" w:rsidP="008274DE">
      <w:pPr>
        <w:pStyle w:val="ListParagraph"/>
        <w:ind w:left="2160"/>
        <w:rPr>
          <w:rStyle w:val="tgc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T&gt;t</m:t>
            </m:r>
          </m:e>
        </m:d>
        <m:r>
          <w:rPr>
            <w:rFonts w:ascii="Cambria Math" w:hAnsi="Cambria Math"/>
          </w:rPr>
          <m:t>=1-P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T≤t</m:t>
            </m:r>
          </m:e>
        </m:d>
        <m:r>
          <w:rPr>
            <w:rFonts w:ascii="Cambria Math" w:hAnsi="Cambria Math"/>
          </w:rPr>
          <m:t>=</m:t>
        </m:r>
      </m:oMath>
      <w:r w:rsidRPr="009B204E">
        <w:t xml:space="preserve"> 1 – 1 + </w:t>
      </w:r>
      <m:oMath>
        <m:sSup>
          <m:sSupPr>
            <m:ctrlPr>
              <w:rPr>
                <w:rStyle w:val="tgc"/>
                <w:rFonts w:ascii="Cambria Math" w:hAnsi="Cambria Math"/>
              </w:rPr>
            </m:ctrlPr>
          </m:sSupPr>
          <m:e>
            <m:r>
              <w:rPr>
                <w:rStyle w:val="tgc"/>
                <w:rFonts w:ascii="Cambria Math" w:hAnsi="Cambria Math"/>
              </w:rPr>
              <m:t>e</m:t>
            </m:r>
          </m:e>
          <m:sup>
            <m:r>
              <w:rPr>
                <w:rStyle w:val="tgc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λt</m:t>
            </m:r>
          </m:sup>
        </m:sSup>
        <m:r>
          <w:rPr>
            <w:rStyle w:val="tgc"/>
            <w:rFonts w:ascii="Cambria Math" w:hAnsi="Cambria Math"/>
          </w:rPr>
          <m:t xml:space="preserve">= </m:t>
        </m:r>
        <m:sSup>
          <m:sSupPr>
            <m:ctrlPr>
              <w:rPr>
                <w:rStyle w:val="tgc"/>
                <w:rFonts w:ascii="Cambria Math" w:hAnsi="Cambria Math"/>
              </w:rPr>
            </m:ctrlPr>
          </m:sSupPr>
          <m:e>
            <m:r>
              <w:rPr>
                <w:rStyle w:val="tgc"/>
                <w:rFonts w:ascii="Cambria Math" w:hAnsi="Cambria Math"/>
              </w:rPr>
              <m:t>e</m:t>
            </m:r>
          </m:e>
          <m:sup>
            <m:r>
              <w:rPr>
                <w:rStyle w:val="tgc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λt</m:t>
            </m:r>
          </m:sup>
        </m:sSup>
      </m:oMath>
    </w:p>
    <w:p w:rsidR="009B204E" w:rsidRDefault="009B204E" w:rsidP="008274DE">
      <w:pPr>
        <w:pStyle w:val="ListParagraph"/>
        <w:ind w:left="2160"/>
      </w:pPr>
    </w:p>
    <w:p w:rsidR="007A0EED" w:rsidRPr="009B204E" w:rsidRDefault="009B204E" w:rsidP="009B204E">
      <w:pPr>
        <w:pStyle w:val="ListParagraph"/>
        <w:numPr>
          <w:ilvl w:val="0"/>
          <w:numId w:val="2"/>
        </w:numPr>
        <w:rPr>
          <w:rStyle w:val="tgc"/>
          <w:sz w:val="36"/>
          <w:szCs w:val="36"/>
        </w:rPr>
      </w:pPr>
      <m:oMath>
        <m:r>
          <w:rPr>
            <w:rFonts w:ascii="Cambria Math" w:hAnsi="Cambria Math"/>
          </w:rPr>
          <m:t xml:space="preserve">P([0 ; </m:t>
        </m:r>
        <m:r>
          <w:rPr>
            <w:rStyle w:val="tgc"/>
            <w:rFonts w:ascii="Cambria Math" w:hAnsi="Cambria Math"/>
          </w:rPr>
          <m:t>+</m:t>
        </m:r>
        <m:r>
          <w:rPr>
            <w:rStyle w:val="tgc"/>
            <w:rFonts w:ascii="Cambria Math" w:hAnsi="Cambria Math" w:cstheme="minorHAnsi"/>
          </w:rPr>
          <m:t xml:space="preserve">∞[) = </m:t>
        </m:r>
        <m:func>
          <m:funcPr>
            <m:ctrlPr>
              <w:rPr>
                <w:rStyle w:val="tgc"/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Style w:val="tgc"/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tgc"/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Style w:val="tgc"/>
                    <w:rFonts w:ascii="Cambria Math" w:hAnsi="Cambria Math" w:cstheme="minorHAnsi"/>
                  </w:rPr>
                  <m:t>t →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Style w:val="tgc"/>
                    <w:rFonts w:ascii="Cambria Math" w:hAnsi="Cambria Math" w:cstheme="minorHAnsi"/>
                  </w:rPr>
                  <m:t>∞</m:t>
                </m:r>
                <m:r>
                  <w:rPr>
                    <w:rStyle w:val="tgc"/>
                    <w:rFonts w:ascii="Cambria Math" w:hAnsi="Cambria Math" w:cstheme="minorHAnsi"/>
                  </w:rPr>
                  <m:t xml:space="preserve"> </m:t>
                </m:r>
              </m:lim>
            </m:limLow>
          </m:fName>
          <m:e>
            <m:d>
              <m:dPr>
                <m:ctrlPr>
                  <w:rPr>
                    <w:rStyle w:val="tgc"/>
                    <w:rFonts w:ascii="Cambria Math" w:hAnsi="Cambria Math" w:cstheme="minorHAnsi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Style w:val="tgc"/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Style w:val="tgc"/>
                        <w:rFonts w:ascii="Cambria Math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Style w:val="tgc"/>
                        <w:rFonts w:ascii="Cambria Math" w:hAnsi="Cambria Math" w:cstheme="minorHAnsi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Style w:val="tgc"/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Style w:val="tgc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tgc"/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Style w:val="tgc"/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/>
                          </w:rPr>
                          <m:t>x</m:t>
                        </m:r>
                      </m:sup>
                    </m:sSup>
                    <m:r>
                      <w:rPr>
                        <w:rStyle w:val="tgc"/>
                        <w:rFonts w:ascii="Cambria Math" w:hAnsi="Cambria Math"/>
                      </w:rPr>
                      <m:t>dx</m:t>
                    </m:r>
                  </m:e>
                </m:nary>
              </m:e>
            </m:d>
            <m:r>
              <w:rPr>
                <w:rStyle w:val="tgc"/>
                <w:rFonts w:ascii="Cambria Math" w:hAnsi="Cambria Math" w:cstheme="minorHAnsi"/>
              </w:rPr>
              <m:t>=1</m:t>
            </m:r>
          </m:e>
        </m:func>
      </m:oMath>
    </w:p>
    <w:p w:rsidR="009B204E" w:rsidRDefault="009B204E" w:rsidP="009B20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204E">
        <w:rPr>
          <w:sz w:val="24"/>
          <w:szCs w:val="24"/>
        </w:rPr>
        <w:t>Démonstration :</w:t>
      </w:r>
    </w:p>
    <w:p w:rsidR="009B204E" w:rsidRPr="008363DE" w:rsidRDefault="008363DE" w:rsidP="009B204E">
      <w:pPr>
        <w:pStyle w:val="ListParagraph"/>
        <w:ind w:left="2160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 w:cstheme="minorHAnsi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Style w:val="tgc"/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Style w:val="tgc"/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Style w:val="tgc"/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</w:rPr>
                        <m:t>λt</m:t>
                      </m:r>
                    </m:sup>
                  </m:sSup>
                  <m:ctrlPr>
                    <w:rPr>
                      <w:rStyle w:val="tgc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tgc"/>
                  <w:rFonts w:ascii="Cambria Math" w:hAnsi="Cambria Math"/>
                </w:rPr>
                <m:t>=0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et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 w:cstheme="minorHAnsi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Style w:val="tgc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tgc"/>
                  <w:rFonts w:ascii="Cambria Math" w:hAnsi="Cambria Math"/>
                </w:rPr>
                <m:t>=</m:t>
              </m:r>
              <m:r>
                <w:rPr>
                  <w:rStyle w:val="tgc"/>
                  <w:rFonts w:ascii="Cambria Math" w:hAnsi="Cambria Math"/>
                </w:rPr>
                <m:t xml:space="preserve">1 donc  </m:t>
              </m:r>
              <m:func>
                <m:funcPr>
                  <m:ctrlPr>
                    <w:rPr>
                      <w:rStyle w:val="tgc"/>
                      <w:rFonts w:ascii="Cambria Math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tgc"/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Style w:val="tgc"/>
                          <w:rFonts w:ascii="Cambria Math" w:hAnsi="Cambria Math" w:cstheme="minorHAnsi"/>
                        </w:rPr>
                        <m:t>t →</m:t>
                      </m:r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</w:rPr>
                        <m:t xml:space="preserve"> +</m:t>
                      </m:r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 w:cstheme="minorHAnsi"/>
                        </w:rPr>
                        <m:t>∞</m:t>
                      </m:r>
                      <m:r>
                        <w:rPr>
                          <w:rStyle w:val="tgc"/>
                          <w:rFonts w:ascii="Cambria Math" w:hAnsi="Cambria Math" w:cstheme="minorHAnsi"/>
                        </w:rPr>
                        <m:t xml:space="preserve"> 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Style w:val="tgc"/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tgc"/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Style w:val="tgc"/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tgc"/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tgc"/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Style w:val="tgc"/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Style w:val="tgc"/>
                      <w:rFonts w:ascii="Cambria Math" w:hAnsi="Cambria Math" w:cstheme="minorHAnsi"/>
                    </w:rPr>
                    <m:t>=1</m:t>
                  </m:r>
                </m:e>
              </m:func>
              <m:r>
                <w:rPr>
                  <w:rStyle w:val="tgc"/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8363DE" w:rsidRPr="009B204E" w:rsidRDefault="008363DE" w:rsidP="009B204E">
      <w:pPr>
        <w:pStyle w:val="ListParagraph"/>
        <w:ind w:left="2160"/>
        <w:rPr>
          <w:sz w:val="24"/>
          <w:szCs w:val="24"/>
        </w:rPr>
      </w:pPr>
    </w:p>
    <w:p w:rsidR="00AF639F" w:rsidRDefault="008363DE" w:rsidP="008363D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tgc"/>
                <w:rFonts w:ascii="Cambria Math" w:hAnsi="Cambria Math"/>
              </w:rPr>
              <m:t>λ</m:t>
            </m:r>
          </m:den>
        </m:f>
      </m:oMath>
    </w:p>
    <w:p w:rsidR="008363DE" w:rsidRDefault="008363DE" w:rsidP="008363DE">
      <w:pPr>
        <w:pStyle w:val="ListParagraph"/>
        <w:numPr>
          <w:ilvl w:val="0"/>
          <w:numId w:val="4"/>
        </w:numPr>
      </w:pPr>
      <w:r>
        <w:t>Démonstration :</w:t>
      </w:r>
    </w:p>
    <w:p w:rsidR="00453D73" w:rsidRDefault="00453D73" w:rsidP="008363DE">
      <w:pPr>
        <w:pStyle w:val="ListParagraph"/>
        <w:ind w:left="2160"/>
      </w:pPr>
      <w:r>
        <w:t>Par intégration par partie :</w:t>
      </w:r>
    </w:p>
    <w:p w:rsidR="006C4E2E" w:rsidRPr="006C4E2E" w:rsidRDefault="00453D73" w:rsidP="008363DE">
      <w:pPr>
        <w:pStyle w:val="ListParagraph"/>
        <w:ind w:left="2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tgc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tgc"/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Style w:val="tgc"/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Style w:val="tgc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tgc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tgc"/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tgc"/>
                      <w:rFonts w:ascii="Cambria Math"/>
                    </w:rPr>
                    <m:t>t</m:t>
                  </m:r>
                </m:sup>
              </m:sSup>
              <m:r>
                <w:rPr>
                  <w:rStyle w:val="tgc"/>
                  <w:rFonts w:ascii="Cambria Math" w:hAnsi="Cambria Math"/>
                </w:rPr>
                <m:t>dt=</m:t>
              </m:r>
              <m:r>
                <w:rPr>
                  <w:rStyle w:val="tgc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tgc"/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Style w:val="tgc"/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tgc"/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</w:rPr>
                        <m:t>t</m:t>
                      </m:r>
                      <m:f>
                        <m:fPr>
                          <m:ctrlPr>
                            <w:rPr>
                              <w:rStyle w:val="tgc"/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tgc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tgc"/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tgc"/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tgc"/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tgc"/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ctrlPr>
                        <w:rPr>
                          <w:rStyle w:val="tgc"/>
                          <w:rFonts w:ascii="Cambria Math" w:hAnsi="Cambria Math"/>
                          <w:i/>
                        </w:rPr>
                      </m:ctrlPr>
                    </m:e>
                  </m:d>
                  <m:f>
                    <m:fPr>
                      <m:type m:val="noBar"/>
                      <m:ctrlPr>
                        <w:rPr>
                          <w:rStyle w:val="tgc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tgc"/>
                          <w:rFonts w:ascii="Cambria Math" w:hAnsi="Cambria Math"/>
                        </w:rPr>
                        <m:t>+∞</m:t>
                      </m:r>
                    </m:num>
                    <m:den>
                      <m:r>
                        <w:rPr>
                          <w:rStyle w:val="tgc"/>
                          <w:rFonts w:ascii="Cambria Math" w:hAnsi="Cambria Math"/>
                        </w:rPr>
                        <m:t>0</m:t>
                      </m:r>
                    </m:den>
                  </m:f>
                  <m:r>
                    <w:rPr>
                      <w:rStyle w:val="tgc"/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Style w:val="tgc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tgc"/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</w:rPr>
                        <m:t>λ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Style w:val="tgc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tgc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tgc"/>
                          <w:rFonts w:ascii="Cambria Math" w:hAnsi="Cambria Math"/>
                        </w:rPr>
                        <m:t>+∞</m:t>
                      </m:r>
                    </m:sup>
                    <m:e>
                      <m:sSup>
                        <m:sSupPr>
                          <m:ctrlPr>
                            <w:rPr>
                              <w:rStyle w:val="tgc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tgc"/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Style w:val="tgc"/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Style w:val="tgc"/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Style w:val="tgc"/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Style w:val="tgc"/>
                          <w:rFonts w:ascii="Cambria Math" w:hAnsi="Cambria Math"/>
                        </w:rPr>
                        <m:t>dt</m:t>
                      </m:r>
                    </m:e>
                  </m:nary>
                  <m:ctrlPr>
                    <w:rPr>
                      <w:rStyle w:val="tgc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tgc"/>
                  <w:rFonts w:ascii="Cambria Math" w:hAnsi="Cambria Math"/>
                </w:rPr>
                <m:t>=0+</m:t>
              </m:r>
              <m:f>
                <m:fPr>
                  <m:ctrlPr>
                    <w:rPr>
                      <w:rStyle w:val="tgc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tgc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Style w:val="tgc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tgc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tgc"/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tgc"/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Style w:val="tgc"/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6C4E2E" w:rsidRPr="006C4E2E" w:rsidRDefault="006C4E2E" w:rsidP="006C4E2E"/>
    <w:p w:rsidR="008363DE" w:rsidRPr="006C4E2E" w:rsidRDefault="008363DE" w:rsidP="008363DE">
      <w:pPr>
        <w:pStyle w:val="ListParagraph"/>
        <w:ind w:left="2160"/>
      </w:pPr>
      <w:r>
        <w:t xml:space="preserve"> </w:t>
      </w:r>
    </w:p>
    <w:p w:rsidR="00BF7F1A" w:rsidRDefault="00BF7F1A" w:rsidP="008363DE">
      <w:pPr>
        <w:pStyle w:val="ListParagraph"/>
        <w:ind w:left="2160"/>
      </w:pPr>
    </w:p>
    <w:p w:rsidR="00BF7F1A" w:rsidRDefault="00BF7F1A" w:rsidP="008363DE">
      <w:pPr>
        <w:pStyle w:val="ListParagraph"/>
        <w:ind w:left="2160"/>
      </w:pPr>
    </w:p>
    <w:p w:rsidR="00BF7F1A" w:rsidRDefault="00BF7F1A" w:rsidP="008363DE">
      <w:pPr>
        <w:pStyle w:val="ListParagraph"/>
        <w:ind w:left="2160"/>
      </w:pPr>
    </w:p>
    <w:p w:rsidR="00BF7F1A" w:rsidRDefault="00BF7F1A" w:rsidP="008363DE">
      <w:pPr>
        <w:pStyle w:val="ListParagraph"/>
        <w:ind w:left="2160"/>
      </w:pPr>
    </w:p>
    <w:p w:rsidR="00BF7F1A" w:rsidRDefault="00BF7F1A" w:rsidP="008363DE">
      <w:pPr>
        <w:pStyle w:val="ListParagraph"/>
        <w:ind w:left="2160"/>
      </w:pPr>
    </w:p>
    <w:p w:rsidR="00BF7F1A" w:rsidRPr="008363DE" w:rsidRDefault="00BF7F1A" w:rsidP="008363DE">
      <w:pPr>
        <w:pStyle w:val="ListParagraph"/>
        <w:ind w:left="2160"/>
      </w:pPr>
    </w:p>
    <w:p w:rsidR="00451BB2" w:rsidRPr="00BF7F1A" w:rsidRDefault="00BF7F1A">
      <w:pPr>
        <w:rPr>
          <w:sz w:val="36"/>
          <w:szCs w:val="36"/>
        </w:rPr>
      </w:pPr>
      <w:r w:rsidRPr="00BF7F1A">
        <w:rPr>
          <w:sz w:val="36"/>
          <w:szCs w:val="36"/>
        </w:rPr>
        <w:t>Fonction de répartition :</w:t>
      </w:r>
    </w:p>
    <w:p w:rsidR="00BF7F1A" w:rsidRDefault="00BF7F1A">
      <w:r>
        <w:t xml:space="preserve">La fonction de répartition de la loi exponentielle est définie par : </w:t>
      </w:r>
    </w:p>
    <w:p w:rsidR="00BF7F1A" w:rsidRPr="006C4E2E" w:rsidRDefault="00BF7F1A" w:rsidP="00BF7F1A">
      <w:pPr>
        <w:jc w:val="center"/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</m:d>
          <m:r>
            <w:rPr>
              <w:rFonts w:ascii="Cambria Math" w:hAnsi="Cambria Math"/>
              <w:sz w:val="44"/>
              <w:szCs w:val="4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1-</m:t>
                  </m:r>
                  <m:sSup>
                    <m:sSupPr>
                      <m:ctrlP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  <m:t>e</m:t>
                      </m:r>
                    </m:e>
                    <m:sup>
                      <m: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  <m:t>-</m:t>
                      </m:r>
                      <w:bookmarkStart w:id="0" w:name="_Hlk498896689"/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  <m:t>λ</m:t>
                      </m:r>
                      <w:bookmarkEnd w:id="0"/>
                      <m:r>
                        <m:rPr>
                          <m:sty m:val="p"/>
                        </m:rPr>
                        <w:rPr>
                          <w:rStyle w:val="tgc"/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sup>
                  </m:sSup>
                  <m:r>
                    <w:rPr>
                      <w:rStyle w:val="tgc"/>
                      <w:rFonts w:ascii="Cambria Math" w:hAnsi="Cambria Math"/>
                      <w:sz w:val="44"/>
                      <w:szCs w:val="44"/>
                    </w:rPr>
                    <m:t xml:space="preserve"> si x ≥0</m:t>
                  </m:r>
                </m:e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0               si x &lt;0</m:t>
                  </m:r>
                </m:e>
              </m:eqArr>
            </m:e>
          </m:d>
        </m:oMath>
      </m:oMathPara>
      <w:bookmarkStart w:id="1" w:name="_GoBack"/>
      <w:bookmarkEnd w:id="1"/>
    </w:p>
    <w:p w:rsidR="006C4E2E" w:rsidRDefault="006C4E2E" w:rsidP="006C4E2E">
      <w:r>
        <w:t>La variance de la loi exponentielle elle donné comme suit :</w:t>
      </w:r>
    </w:p>
    <w:p w:rsidR="006C4E2E" w:rsidRPr="006C4E2E" w:rsidRDefault="006C4E2E" w:rsidP="006C4E2E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λ²</m:t>
              </m:r>
            </m:den>
          </m:f>
        </m:oMath>
      </m:oMathPara>
    </w:p>
    <w:sectPr w:rsidR="006C4E2E" w:rsidRPr="006C4E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727"/>
    <w:multiLevelType w:val="hybridMultilevel"/>
    <w:tmpl w:val="3828AB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04FDE"/>
    <w:multiLevelType w:val="hybridMultilevel"/>
    <w:tmpl w:val="7DB8900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9F5013"/>
    <w:multiLevelType w:val="hybridMultilevel"/>
    <w:tmpl w:val="0A744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A6EE2"/>
    <w:multiLevelType w:val="hybridMultilevel"/>
    <w:tmpl w:val="5C76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8"/>
    <w:rsid w:val="00451BB2"/>
    <w:rsid w:val="00453D73"/>
    <w:rsid w:val="006C4E2E"/>
    <w:rsid w:val="007A0EED"/>
    <w:rsid w:val="008274DE"/>
    <w:rsid w:val="008363DE"/>
    <w:rsid w:val="008D76B0"/>
    <w:rsid w:val="009B204E"/>
    <w:rsid w:val="00A41959"/>
    <w:rsid w:val="00AF639F"/>
    <w:rsid w:val="00BF7F1A"/>
    <w:rsid w:val="00CF37A4"/>
    <w:rsid w:val="00D91D83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EDA7"/>
  <w15:chartTrackingRefBased/>
  <w15:docId w15:val="{B1708281-3F3A-487D-A04D-A5154D55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AF639F"/>
  </w:style>
  <w:style w:type="character" w:styleId="PlaceholderText">
    <w:name w:val="Placeholder Text"/>
    <w:basedOn w:val="DefaultParagraphFont"/>
    <w:uiPriority w:val="99"/>
    <w:semiHidden/>
    <w:rsid w:val="00AF639F"/>
    <w:rPr>
      <w:color w:val="808080"/>
    </w:rPr>
  </w:style>
  <w:style w:type="paragraph" w:styleId="ListParagraph">
    <w:name w:val="List Paragraph"/>
    <w:basedOn w:val="Normal"/>
    <w:uiPriority w:val="34"/>
    <w:qFormat/>
    <w:rsid w:val="007A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khoudour</dc:creator>
  <cp:keywords/>
  <dc:description/>
  <cp:lastModifiedBy>sofiane khoudour</cp:lastModifiedBy>
  <cp:revision>3</cp:revision>
  <dcterms:created xsi:type="dcterms:W3CDTF">2017-11-19T18:41:00Z</dcterms:created>
  <dcterms:modified xsi:type="dcterms:W3CDTF">2017-11-19T22:18:00Z</dcterms:modified>
</cp:coreProperties>
</file>