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0B2545"/>
          <w:sz w:val="56"/>
          <w:szCs w:val="56"/>
        </w:rPr>
        <w:t xml:space="preserve">REVENUE SHIELD</w:t>
      </w:r>
    </w:p>
    <w:p>
      <w:pPr>
        <w:spacing w:after="300"/>
        <w:jc w:val="center"/>
      </w:pPr>
      <w:r>
        <w:rPr>
          <w:color w:val="1F6FEB"/>
          <w:sz w:val="26"/>
          <w:szCs w:val="26"/>
        </w:rPr>
        <w:t xml:space="preserve">AI-Powered Booking Revenue Intelligence &amp; Cancellation Risk Platform</w:t>
      </w:r>
    </w:p>
    <w:p>
      <w:pPr>
        <w:pBdr>
          <w:bottom w:val="single" w:color="1F6FEB" w:sz="6" w:space="4"/>
        </w:pBdr>
        <w:spacing w:after="160" w:before="60"/>
      </w:pPr>
      <w:r>
        <w:t xml:space="preserve"/>
      </w:r>
    </w:p>
    <w:p>
      <w:pPr>
        <w:spacing w:after="140" w:line="300"/>
        <w:jc w:val="center"/>
      </w:pPr>
      <w:r>
        <w:rPr>
          <w:b/>
          <w:bCs/>
          <w:sz w:val="24"/>
          <w:szCs w:val="24"/>
        </w:rPr>
        <w:t xml:space="preserve">Project Report</w:t>
      </w:r>
    </w:p>
    <w:p>
      <w:pPr>
        <w:spacing w:after="140" w:line="300"/>
        <w:jc w:val="center"/>
      </w:pPr>
      <w:r>
        <w:rPr>
          <w:color w:val="64748B"/>
          <w:sz w:val="21"/>
          <w:szCs w:val="21"/>
        </w:rPr>
        <w:t xml:space="preserve">IBM SkillsBuild x BharatCares Internship - Final Capstone</w:t>
      </w:r>
    </w:p>
    <w:p>
      <w:pPr>
        <w:spacing w:after="140" w:line="300"/>
        <w:jc w:val="center"/>
      </w:pPr>
      <w:r>
        <w:rPr>
          <w:color w:val="64748B"/>
          <w:sz w:val="21"/>
          <w:szCs w:val="21"/>
        </w:rPr>
        <w:t xml:space="preserve">Domain: Data Analytics | Predictive Modelling | Generative AI</w:t>
      </w:r>
    </w:p>
    <w:p>
      <w:pPr>
        <w:spacing w:before="1400"/>
      </w:pPr>
    </w:p>
    <w:tbl>
      <w:tblPr>
        <w:tblW w:type="dxa" w:w="5400"/>
        <w:jc w:val="center"/>
        <w:tblBorders>
          <w:top w:val="none"/>
          <w:left w:val="none"/>
          <w:bottom w:val="none"/>
          <w:right w:val="none"/>
          <w:insideH w:val="single" w:color="E2E8F0" w:sz="1"/>
          <w:insideV w:val="none"/>
        </w:tblBorders>
      </w:tblPr>
      <w:tblGrid>
        <w:gridCol w:w="1900"/>
        <w:gridCol w:w="3500"/>
      </w:tblGrid>
      <w:tr>
        <w:tc>
          <w:tcPr>
            <w:tcW w:type="dxa" w:w="1900"/>
            <w:tcMar>
              <w:top w:type="dxa" w:w="80"/>
              <w:left w:type="dxa" w:w="110"/>
              <w:bottom w:type="dxa" w:w="80"/>
              <w:right w:type="dxa" w:w="110"/>
            </w:tcMar>
          </w:tcPr>
          <w:p>
            <w:pPr>
              <w:spacing w:after="0" w:line="270"/>
            </w:pPr>
            <w:r>
              <w:rPr>
                <w:b/>
                <w:bCs/>
                <w:sz w:val="19"/>
                <w:szCs w:val="19"/>
              </w:rPr>
              <w:t xml:space="preserve">Author</w:t>
            </w:r>
          </w:p>
        </w:tc>
        <w:tc>
          <w:tcPr>
            <w:tcW w:type="dxa" w:w="3500"/>
            <w:tcMar>
              <w:top w:type="dxa" w:w="80"/>
              <w:left w:type="dxa" w:w="110"/>
              <w:bottom w:type="dxa" w:w="80"/>
              <w:right w:type="dxa" w:w="110"/>
            </w:tcMar>
          </w:tcPr>
          <w:p>
            <w:pPr>
              <w:spacing w:after="0" w:line="270"/>
            </w:pPr>
            <w:r>
              <w:rPr>
                <w:sz w:val="19"/>
                <w:szCs w:val="19"/>
              </w:rPr>
              <w:t xml:space="preserve">Mursalim</w:t>
            </w:r>
          </w:p>
        </w:tc>
      </w:tr>
      <w:tr>
        <w:tc>
          <w:tcPr>
            <w:tcW w:type="dxa" w:w="1900"/>
            <w:tcMar>
              <w:top w:type="dxa" w:w="80"/>
              <w:left w:type="dxa" w:w="110"/>
              <w:bottom w:type="dxa" w:w="80"/>
              <w:right w:type="dxa" w:w="110"/>
            </w:tcMar>
          </w:tcPr>
          <w:p>
            <w:pPr>
              <w:spacing w:after="0" w:line="270"/>
            </w:pPr>
            <w:r>
              <w:rPr>
                <w:b/>
                <w:bCs/>
                <w:sz w:val="19"/>
                <w:szCs w:val="19"/>
              </w:rPr>
              <w:t xml:space="preserve">Dataset</w:t>
            </w:r>
          </w:p>
        </w:tc>
        <w:tc>
          <w:tcPr>
            <w:tcW w:type="dxa" w:w="3500"/>
            <w:tcMar>
              <w:top w:type="dxa" w:w="80"/>
              <w:left w:type="dxa" w:w="110"/>
              <w:bottom w:type="dxa" w:w="80"/>
              <w:right w:type="dxa" w:w="110"/>
            </w:tcMar>
          </w:tcPr>
          <w:p>
            <w:pPr>
              <w:spacing w:after="0" w:line="270"/>
            </w:pPr>
            <w:r>
              <w:rPr>
                <w:sz w:val="19"/>
                <w:szCs w:val="19"/>
              </w:rPr>
              <w:t xml:space="preserve">Hotel Booking Demand (Kaggle)</w:t>
            </w:r>
          </w:p>
        </w:tc>
      </w:tr>
      <w:tr>
        <w:tc>
          <w:tcPr>
            <w:tcW w:type="dxa" w:w="1900"/>
            <w:tcMar>
              <w:top w:type="dxa" w:w="80"/>
              <w:left w:type="dxa" w:w="110"/>
              <w:bottom w:type="dxa" w:w="80"/>
              <w:right w:type="dxa" w:w="110"/>
            </w:tcMar>
          </w:tcPr>
          <w:p>
            <w:pPr>
              <w:spacing w:after="0" w:line="270"/>
            </w:pPr>
            <w:r>
              <w:rPr>
                <w:b/>
                <w:bCs/>
                <w:sz w:val="19"/>
                <w:szCs w:val="19"/>
              </w:rPr>
              <w:t xml:space="preserve">Records analysed</w:t>
            </w:r>
          </w:p>
        </w:tc>
        <w:tc>
          <w:tcPr>
            <w:tcW w:type="dxa" w:w="3500"/>
            <w:tcMar>
              <w:top w:type="dxa" w:w="80"/>
              <w:left w:type="dxa" w:w="110"/>
              <w:bottom w:type="dxa" w:w="80"/>
              <w:right w:type="dxa" w:w="110"/>
            </w:tcMar>
          </w:tcPr>
          <w:p>
            <w:pPr>
              <w:spacing w:after="0" w:line="270"/>
            </w:pPr>
            <w:r>
              <w:rPr>
                <w:sz w:val="19"/>
                <w:szCs w:val="19"/>
              </w:rPr>
              <w:t xml:space="preserve">~119,390 bookings</w:t>
            </w:r>
          </w:p>
        </w:tc>
      </w:tr>
      <w:tr>
        <w:tc>
          <w:tcPr>
            <w:tcW w:type="dxa" w:w="1900"/>
            <w:tcMar>
              <w:top w:type="dxa" w:w="80"/>
              <w:left w:type="dxa" w:w="110"/>
              <w:bottom w:type="dxa" w:w="80"/>
              <w:right w:type="dxa" w:w="110"/>
            </w:tcMar>
          </w:tcPr>
          <w:p>
            <w:pPr>
              <w:spacing w:after="0" w:line="270"/>
            </w:pPr>
            <w:r>
              <w:rPr>
                <w:b/>
                <w:bCs/>
                <w:sz w:val="19"/>
                <w:szCs w:val="19"/>
              </w:rPr>
              <w:t xml:space="preserve">Stack</w:t>
            </w:r>
          </w:p>
        </w:tc>
        <w:tc>
          <w:tcPr>
            <w:tcW w:type="dxa" w:w="3500"/>
            <w:tcMar>
              <w:top w:type="dxa" w:w="80"/>
              <w:left w:type="dxa" w:w="110"/>
              <w:bottom w:type="dxa" w:w="80"/>
              <w:right w:type="dxa" w:w="110"/>
            </w:tcMar>
          </w:tcPr>
          <w:p>
            <w:pPr>
              <w:spacing w:after="0" w:line="270"/>
            </w:pPr>
            <w:r>
              <w:rPr>
                <w:sz w:val="19"/>
                <w:szCs w:val="19"/>
              </w:rPr>
              <w:t xml:space="preserve">Python, pandas, scikit-learn, Streamlit, Plotly</w:t>
            </w:r>
          </w:p>
        </w:tc>
      </w:tr>
      <w:tr>
        <w:tc>
          <w:tcPr>
            <w:tcW w:type="dxa" w:w="1900"/>
            <w:tcMar>
              <w:top w:type="dxa" w:w="80"/>
              <w:left w:type="dxa" w:w="110"/>
              <w:bottom w:type="dxa" w:w="80"/>
              <w:right w:type="dxa" w:w="110"/>
            </w:tcMar>
          </w:tcPr>
          <w:p>
            <w:pPr>
              <w:spacing w:after="0" w:line="270"/>
            </w:pPr>
            <w:r>
              <w:rPr>
                <w:b/>
                <w:bCs/>
                <w:sz w:val="19"/>
                <w:szCs w:val="19"/>
              </w:rPr>
              <w:t xml:space="preserve">Deliverable</w:t>
            </w:r>
          </w:p>
        </w:tc>
        <w:tc>
          <w:tcPr>
            <w:tcW w:type="dxa" w:w="3500"/>
            <w:tcMar>
              <w:top w:type="dxa" w:w="80"/>
              <w:left w:type="dxa" w:w="110"/>
              <w:bottom w:type="dxa" w:w="80"/>
              <w:right w:type="dxa" w:w="110"/>
            </w:tcMar>
          </w:tcPr>
          <w:p>
            <w:pPr>
              <w:spacing w:after="0" w:line="270"/>
            </w:pPr>
            <w:r>
              <w:rPr>
                <w:sz w:val="19"/>
                <w:szCs w:val="19"/>
              </w:rPr>
              <w:t xml:space="preserve">app.py (single-file full stack)</w:t>
            </w:r>
          </w:p>
        </w:tc>
      </w:tr>
    </w:tbl>
    <w:p>
      <w:r>
        <w:br w:type="page"/>
      </w:r>
    </w:p>
    <w:p>
      <w:pPr>
        <w:pStyle w:val="Heading1"/>
        <w:spacing w:after="140" w:before="300"/>
      </w:pPr>
      <w:r>
        <w:rPr>
          <w:color w:val="0B2545"/>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00"/>
      </w:pPr>
      <w:r>
        <w:rPr>
          <w:color w:val="0B2545"/>
        </w:rPr>
        <w:t xml:space="preserve">1. Executive summary</w:t>
      </w:r>
    </w:p>
    <w:p>
      <w:pPr>
        <w:spacing w:after="140" w:line="300"/>
      </w:pPr>
      <w:r>
        <w:rPr>
          <w:sz w:val="21"/>
          <w:szCs w:val="21"/>
        </w:rPr>
        <w:t xml:space="preserve">Revenue Shield is a business intelligence platform that treats hotel booking cancellations as what they actually are: the largest controllable source of revenue leakage in the business. Conventional dashboards report a cancellation percentage after the money has already gone. This project instead completes the full business intelligence chain taught across the masterclass series - data, information, insight, decision, action - and ends with a costed instruction rather than a chart.</w:t>
      </w:r>
    </w:p>
    <w:p>
      <w:pPr>
        <w:spacing w:after="140" w:line="300"/>
      </w:pPr>
      <w:r>
        <w:rPr>
          <w:sz w:val="21"/>
          <w:szCs w:val="21"/>
        </w:rPr>
        <w:t xml:space="preserve">The platform ingests raw reservation data, cleans it through an auditable pipeline, reports the key performance indicators that govern the P&amp;L, explains why those numbers move, predicts which individual reservations will cancel using a supervised machine learning model, attaches a monetary value to that forward risk, and finally writes an executive decision brief with a prioritised action register that can be downloaded and circulated.</w:t>
      </w:r>
    </w:p>
    <w:p>
      <w:pPr>
        <w:spacing w:after="140" w:line="300"/>
      </w:pPr>
      <w:r>
        <w:rPr>
          <w:sz w:val="21"/>
          <w:szCs w:val="21"/>
        </w:rPr>
        <w:t xml:space="preserve">Three design principles drove every decision in the build:</w:t>
      </w:r>
    </w:p>
    <w:p>
      <w:pPr>
        <w:pStyle w:val="ListParagraph"/>
        <w:numPr>
          <w:ilvl w:val="0"/>
          <w:numId w:val="2"/>
        </w:numPr>
        <w:spacing w:after="70" w:line="290"/>
      </w:pPr>
      <w:r>
        <w:rPr>
          <w:sz w:val="21"/>
          <w:szCs w:val="21"/>
        </w:rPr>
        <w:t xml:space="preserve">Decision over decoration. Every visual on every page exists to answer one named business question. Charts that did not change a decision were deleted.</w:t>
      </w:r>
    </w:p>
    <w:p>
      <w:pPr>
        <w:pStyle w:val="ListParagraph"/>
        <w:numPr>
          <w:ilvl w:val="0"/>
          <w:numId w:val="2"/>
        </w:numPr>
        <w:spacing w:after="70" w:line="290"/>
      </w:pPr>
      <w:r>
        <w:rPr>
          <w:sz w:val="21"/>
          <w:szCs w:val="21"/>
        </w:rPr>
        <w:t xml:space="preserve">Money as the unit of measure. Risk is never reported as a percentage alone; it is always converted into euros of contracted value so that management can compare it against the cost of acting.</w:t>
      </w:r>
    </w:p>
    <w:p>
      <w:pPr>
        <w:pStyle w:val="ListParagraph"/>
        <w:numPr>
          <w:ilvl w:val="0"/>
          <w:numId w:val="2"/>
        </w:numPr>
        <w:spacing w:after="70" w:line="290"/>
      </w:pPr>
      <w:r>
        <w:rPr>
          <w:sz w:val="21"/>
          <w:szCs w:val="21"/>
        </w:rPr>
        <w:t xml:space="preserve">Robustness over cleverness. The platform runs offline, with or without the source CSV, and with or without a generative AI key. No reviewer can encounter a broken screen.</w:t>
      </w:r>
    </w:p>
    <w:p>
      <w:pPr>
        <w:spacing w:after="140" w:line="300"/>
      </w:pPr>
      <w:r>
        <w:rPr>
          <w:sz w:val="21"/>
          <w:szCs w:val="21"/>
        </w:rPr>
        <w:t xml:space="preserve">The result is a platform that does not merely describe a 33 percent cancellation rate. It identifies the guests behind it, ranks them by the revenue they put at risk, names the three policy levers that move the number, and quantifies what recovering even a third of that value would be worth.</w:t>
      </w:r>
    </w:p>
    <w:p>
      <w:r>
        <w:br w:type="page"/>
      </w:r>
    </w:p>
    <w:p>
      <w:pPr>
        <w:pStyle w:val="Heading1"/>
        <w:spacing w:after="140" w:before="300"/>
      </w:pPr>
      <w:r>
        <w:rPr>
          <w:color w:val="0B2545"/>
        </w:rPr>
        <w:t xml:space="preserve">2. Problem statement and objectives</w:t>
      </w:r>
    </w:p>
    <w:p>
      <w:pPr>
        <w:pStyle w:val="Heading2"/>
        <w:spacing w:after="140" w:before="300"/>
      </w:pPr>
      <w:r>
        <w:rPr>
          <w:color w:val="1E3A5F"/>
        </w:rPr>
        <w:t xml:space="preserve">2.1 Business context</w:t>
      </w:r>
    </w:p>
    <w:p>
      <w:pPr>
        <w:spacing w:after="140" w:line="300"/>
      </w:pPr>
      <w:r>
        <w:rPr>
          <w:sz w:val="21"/>
          <w:szCs w:val="21"/>
        </w:rPr>
        <w:t xml:space="preserve">A hotel group operating a city property and a resort property books tens of thousands of reservations a year through online travel agents, offline agents, corporate accounts, group bookings and its own direct channel. Every confirmed reservation represents contracted revenue. A material share of it never converts to cash because the guest cancels, and because cancellations arrive late, the inventory is frequently impossible to resell at the original rate.</w:t>
      </w:r>
    </w:p>
    <w:p>
      <w:pPr>
        <w:spacing w:after="140" w:line="300"/>
      </w:pPr>
      <w:r>
        <w:rPr>
          <w:sz w:val="21"/>
          <w:szCs w:val="21"/>
        </w:rPr>
        <w:t xml:space="preserve">Management therefore faces four questions that a static dashboard cannot answer: how much money is actually being lost, why it is being lost, which reservations are about to be lost, and what should be done about it this week.</w:t>
      </w:r>
    </w:p>
    <w:p>
      <w:pPr>
        <w:pStyle w:val="Heading2"/>
        <w:spacing w:after="140" w:before="300"/>
      </w:pPr>
      <w:r>
        <w:rPr>
          <w:color w:val="1E3A5F"/>
        </w:rPr>
        <w:t xml:space="preserve">2.2 Objectives</w:t>
      </w:r>
    </w:p>
    <w:p>
      <w:pPr>
        <w:pStyle w:val="ListParagraph"/>
        <w:numPr>
          <w:ilvl w:val="0"/>
          <w:numId w:val="2"/>
        </w:numPr>
        <w:spacing w:after="70" w:line="290"/>
      </w:pPr>
      <w:r>
        <w:rPr>
          <w:sz w:val="21"/>
          <w:szCs w:val="21"/>
        </w:rPr>
        <w:t xml:space="preserve">Quantify revenue leakage in absolute currency terms, not just as a cancellation percentage.</w:t>
      </w:r>
    </w:p>
    <w:p>
      <w:pPr>
        <w:pStyle w:val="ListParagraph"/>
        <w:numPr>
          <w:ilvl w:val="0"/>
          <w:numId w:val="2"/>
        </w:numPr>
        <w:spacing w:after="70" w:line="290"/>
      </w:pPr>
      <w:r>
        <w:rPr>
          <w:sz w:val="21"/>
          <w:szCs w:val="21"/>
        </w:rPr>
        <w:t xml:space="preserve">Identify the structural drivers of cancellation behaviour across channel, policy, seasonality and guest profile.</w:t>
      </w:r>
    </w:p>
    <w:p>
      <w:pPr>
        <w:pStyle w:val="ListParagraph"/>
        <w:numPr>
          <w:ilvl w:val="0"/>
          <w:numId w:val="2"/>
        </w:numPr>
        <w:spacing w:after="70" w:line="290"/>
      </w:pPr>
      <w:r>
        <w:rPr>
          <w:sz w:val="21"/>
          <w:szCs w:val="21"/>
        </w:rPr>
        <w:t xml:space="preserve">Predict cancellation probability at the level of an individual booking, using only information available at the moment of booking.</w:t>
      </w:r>
    </w:p>
    <w:p>
      <w:pPr>
        <w:pStyle w:val="ListParagraph"/>
        <w:numPr>
          <w:ilvl w:val="0"/>
          <w:numId w:val="2"/>
        </w:numPr>
        <w:spacing w:after="70" w:line="290"/>
      </w:pPr>
      <w:r>
        <w:rPr>
          <w:sz w:val="21"/>
          <w:szCs w:val="21"/>
        </w:rPr>
        <w:t xml:space="preserve">Convert model output into an operational artefact - a ranked daily queue of high-value bookings worth intervening on.</w:t>
      </w:r>
    </w:p>
    <w:p>
      <w:pPr>
        <w:pStyle w:val="ListParagraph"/>
        <w:numPr>
          <w:ilvl w:val="0"/>
          <w:numId w:val="2"/>
        </w:numPr>
        <w:spacing w:after="70" w:line="290"/>
      </w:pPr>
      <w:r>
        <w:rPr>
          <w:sz w:val="21"/>
          <w:szCs w:val="21"/>
        </w:rPr>
        <w:t xml:space="preserve">Generate an executive decision brief in which every finding carries a fact, an insight, a recommended action and a value at stake.</w:t>
      </w:r>
    </w:p>
    <w:p>
      <w:pPr>
        <w:pStyle w:val="Heading2"/>
        <w:spacing w:after="140" w:before="300"/>
      </w:pPr>
      <w:r>
        <w:rPr>
          <w:color w:val="1E3A5F"/>
        </w:rPr>
        <w:t xml:space="preserve">2.3 Scope and non-goals</w:t>
      </w:r>
    </w:p>
    <w:p>
      <w:pPr>
        <w:spacing w:after="140" w:line="300"/>
      </w:pPr>
      <w:r>
        <w:rPr>
          <w:sz w:val="21"/>
          <w:szCs w:val="21"/>
        </w:rPr>
        <w:t xml:space="preserve">The platform deliberately does not attempt dynamic pricing optimisation or a full overbooking engine. Those require cost and inventory data that the source dataset does not contain. Quantifying revenue at risk and aiming retention effort at it is the achievable, defensible objective, and it is the one that produces value fastest.</w:t>
      </w:r>
    </w:p>
    <w:p>
      <w:r>
        <w:br w:type="page"/>
      </w:r>
    </w:p>
    <w:p>
      <w:pPr>
        <w:pStyle w:val="Heading1"/>
        <w:spacing w:after="140" w:before="300"/>
      </w:pPr>
      <w:r>
        <w:rPr>
          <w:color w:val="0B2545"/>
        </w:rPr>
        <w:t xml:space="preserve">3. Dataset</w:t>
      </w:r>
    </w:p>
    <w:p>
      <w:pPr>
        <w:spacing w:after="140" w:line="300"/>
      </w:pPr>
      <w:r>
        <w:rPr>
          <w:sz w:val="21"/>
          <w:szCs w:val="21"/>
        </w:rPr>
        <w:t xml:space="preserve">The project uses the public Hotel Booking Demand dataset, originally published by Antonio, Almeida and Nunes in Data in Brief (2019) and distributed on Kaggle. It was chosen specifically because it was not used in any masterclass session, it carries a genuine binary business outcome rather than a synthetic label, and it contains the channel, policy and behavioural attributes needed to explain that outcome rather than merely predict it.</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400"/>
        <w:gridCol w:w="6960"/>
      </w:tblGrid>
      <w:tr>
        <w:trPr>
          <w:tblHeader/>
        </w:trPr>
        <w:tc>
          <w:tcPr>
            <w:tcW w:type="dxa" w:w="2400"/>
            <w:shd w:fill="0B2545" w:color="auto" w:val="clear"/>
            <w:tcMar>
              <w:top w:type="dxa" w:w="80"/>
              <w:left w:type="dxa" w:w="110"/>
              <w:bottom w:type="dxa" w:w="80"/>
              <w:right w:type="dxa" w:w="110"/>
            </w:tcMar>
          </w:tcPr>
          <w:p>
            <w:pPr>
              <w:spacing w:after="0" w:line="270"/>
            </w:pPr>
            <w:r>
              <w:rPr>
                <w:b/>
                <w:bCs/>
                <w:color w:val="FFFFFF"/>
                <w:sz w:val="19"/>
                <w:szCs w:val="19"/>
              </w:rPr>
              <w:t xml:space="preserve">Attribute</w:t>
            </w:r>
          </w:p>
        </w:tc>
        <w:tc>
          <w:tcPr>
            <w:tcW w:type="dxa" w:w="6960"/>
            <w:shd w:fill="0B2545" w:color="auto" w:val="clear"/>
            <w:tcMar>
              <w:top w:type="dxa" w:w="80"/>
              <w:left w:type="dxa" w:w="110"/>
              <w:bottom w:type="dxa" w:w="80"/>
              <w:right w:type="dxa" w:w="110"/>
            </w:tcMar>
          </w:tcPr>
          <w:p>
            <w:pPr>
              <w:spacing w:after="0" w:line="270"/>
            </w:pPr>
            <w:r>
              <w:rPr>
                <w:b/>
                <w:bCs/>
                <w:color w:val="FFFFFF"/>
                <w:sz w:val="19"/>
                <w:szCs w:val="19"/>
              </w:rPr>
              <w:t xml:space="preserve">Detail</w:t>
            </w:r>
          </w:p>
        </w:tc>
      </w:tr>
      <w:tr>
        <w:tc>
          <w:tcPr>
            <w:tcW w:type="dxa" w:w="2400"/>
            <w:tcMar>
              <w:top w:type="dxa" w:w="80"/>
              <w:left w:type="dxa" w:w="110"/>
              <w:bottom w:type="dxa" w:w="80"/>
              <w:right w:type="dxa" w:w="110"/>
            </w:tcMar>
          </w:tcPr>
          <w:p>
            <w:pPr>
              <w:spacing w:after="0" w:line="270"/>
            </w:pPr>
            <w:r>
              <w:rPr>
                <w:sz w:val="19"/>
                <w:szCs w:val="19"/>
              </w:rPr>
              <w:t xml:space="preserve">Source</w:t>
            </w:r>
          </w:p>
        </w:tc>
        <w:tc>
          <w:tcPr>
            <w:tcW w:type="dxa" w:w="6960"/>
            <w:tcMar>
              <w:top w:type="dxa" w:w="80"/>
              <w:left w:type="dxa" w:w="110"/>
              <w:bottom w:type="dxa" w:w="80"/>
              <w:right w:type="dxa" w:w="110"/>
            </w:tcMar>
          </w:tcPr>
          <w:p>
            <w:pPr>
              <w:spacing w:after="0" w:line="270"/>
            </w:pPr>
            <w:r>
              <w:rPr>
                <w:sz w:val="19"/>
                <w:szCs w:val="19"/>
              </w:rPr>
              <w:t xml:space="preserve">https://www.kaggle.com/datasets/jessemostipak/hotel-booking-demand</w:t>
            </w:r>
          </w:p>
        </w:tc>
      </w:tr>
      <w:tr>
        <w:tc>
          <w:tcPr>
            <w:tcW w:type="dxa" w:w="2400"/>
            <w:shd w:fill="F6F8FB" w:color="auto" w:val="clear"/>
            <w:tcMar>
              <w:top w:type="dxa" w:w="80"/>
              <w:left w:type="dxa" w:w="110"/>
              <w:bottom w:type="dxa" w:w="80"/>
              <w:right w:type="dxa" w:w="110"/>
            </w:tcMar>
          </w:tcPr>
          <w:p>
            <w:pPr>
              <w:spacing w:after="0" w:line="270"/>
            </w:pPr>
            <w:r>
              <w:rPr>
                <w:sz w:val="19"/>
                <w:szCs w:val="19"/>
              </w:rPr>
              <w:t xml:space="preserve">File</w:t>
            </w:r>
          </w:p>
        </w:tc>
        <w:tc>
          <w:tcPr>
            <w:tcW w:type="dxa" w:w="6960"/>
            <w:shd w:fill="F6F8FB" w:color="auto" w:val="clear"/>
            <w:tcMar>
              <w:top w:type="dxa" w:w="80"/>
              <w:left w:type="dxa" w:w="110"/>
              <w:bottom w:type="dxa" w:w="80"/>
              <w:right w:type="dxa" w:w="110"/>
            </w:tcMar>
          </w:tcPr>
          <w:p>
            <w:pPr>
              <w:spacing w:after="0" w:line="270"/>
            </w:pPr>
            <w:r>
              <w:rPr>
                <w:sz w:val="19"/>
                <w:szCs w:val="19"/>
              </w:rPr>
              <w:t xml:space="preserve">hotel_bookings.csv</w:t>
            </w:r>
          </w:p>
        </w:tc>
      </w:tr>
      <w:tr>
        <w:tc>
          <w:tcPr>
            <w:tcW w:type="dxa" w:w="2400"/>
            <w:tcMar>
              <w:top w:type="dxa" w:w="80"/>
              <w:left w:type="dxa" w:w="110"/>
              <w:bottom w:type="dxa" w:w="80"/>
              <w:right w:type="dxa" w:w="110"/>
            </w:tcMar>
          </w:tcPr>
          <w:p>
            <w:pPr>
              <w:spacing w:after="0" w:line="270"/>
            </w:pPr>
            <w:r>
              <w:rPr>
                <w:sz w:val="19"/>
                <w:szCs w:val="19"/>
              </w:rPr>
              <w:t xml:space="preserve">Volume</w:t>
            </w:r>
          </w:p>
        </w:tc>
        <w:tc>
          <w:tcPr>
            <w:tcW w:type="dxa" w:w="6960"/>
            <w:tcMar>
              <w:top w:type="dxa" w:w="80"/>
              <w:left w:type="dxa" w:w="110"/>
              <w:bottom w:type="dxa" w:w="80"/>
              <w:right w:type="dxa" w:w="110"/>
            </w:tcMar>
          </w:tcPr>
          <w:p>
            <w:pPr>
              <w:spacing w:after="0" w:line="270"/>
            </w:pPr>
            <w:r>
              <w:rPr>
                <w:sz w:val="19"/>
                <w:szCs w:val="19"/>
              </w:rPr>
              <w:t xml:space="preserve">Approximately 119,390 rows x 32 columns</w:t>
            </w:r>
          </w:p>
        </w:tc>
      </w:tr>
      <w:tr>
        <w:tc>
          <w:tcPr>
            <w:tcW w:type="dxa" w:w="2400"/>
            <w:shd w:fill="F6F8FB" w:color="auto" w:val="clear"/>
            <w:tcMar>
              <w:top w:type="dxa" w:w="80"/>
              <w:left w:type="dxa" w:w="110"/>
              <w:bottom w:type="dxa" w:w="80"/>
              <w:right w:type="dxa" w:w="110"/>
            </w:tcMar>
          </w:tcPr>
          <w:p>
            <w:pPr>
              <w:spacing w:after="0" w:line="270"/>
            </w:pPr>
            <w:r>
              <w:rPr>
                <w:sz w:val="19"/>
                <w:szCs w:val="19"/>
              </w:rPr>
              <w:t xml:space="preserve">Grain</w:t>
            </w:r>
          </w:p>
        </w:tc>
        <w:tc>
          <w:tcPr>
            <w:tcW w:type="dxa" w:w="6960"/>
            <w:shd w:fill="F6F8FB" w:color="auto" w:val="clear"/>
            <w:tcMar>
              <w:top w:type="dxa" w:w="80"/>
              <w:left w:type="dxa" w:w="110"/>
              <w:bottom w:type="dxa" w:w="80"/>
              <w:right w:type="dxa" w:w="110"/>
            </w:tcMar>
          </w:tcPr>
          <w:p>
            <w:pPr>
              <w:spacing w:after="0" w:line="270"/>
            </w:pPr>
            <w:r>
              <w:rPr>
                <w:sz w:val="19"/>
                <w:szCs w:val="19"/>
              </w:rPr>
              <w:t xml:space="preserve">One row = one hotel reservation</w:t>
            </w:r>
          </w:p>
        </w:tc>
      </w:tr>
      <w:tr>
        <w:tc>
          <w:tcPr>
            <w:tcW w:type="dxa" w:w="2400"/>
            <w:tcMar>
              <w:top w:type="dxa" w:w="80"/>
              <w:left w:type="dxa" w:w="110"/>
              <w:bottom w:type="dxa" w:w="80"/>
              <w:right w:type="dxa" w:w="110"/>
            </w:tcMar>
          </w:tcPr>
          <w:p>
            <w:pPr>
              <w:spacing w:after="0" w:line="270"/>
            </w:pPr>
            <w:r>
              <w:rPr>
                <w:sz w:val="19"/>
                <w:szCs w:val="19"/>
              </w:rPr>
              <w:t xml:space="preserve">Period</w:t>
            </w:r>
          </w:p>
        </w:tc>
        <w:tc>
          <w:tcPr>
            <w:tcW w:type="dxa" w:w="6960"/>
            <w:tcMar>
              <w:top w:type="dxa" w:w="80"/>
              <w:left w:type="dxa" w:w="110"/>
              <w:bottom w:type="dxa" w:w="80"/>
              <w:right w:type="dxa" w:w="110"/>
            </w:tcMar>
          </w:tcPr>
          <w:p>
            <w:pPr>
              <w:spacing w:after="0" w:line="270"/>
            </w:pPr>
            <w:r>
              <w:rPr>
                <w:sz w:val="19"/>
                <w:szCs w:val="19"/>
              </w:rPr>
              <w:t xml:space="preserve">2015 - 2017, two Portuguese properties (city and resort)</w:t>
            </w:r>
          </w:p>
        </w:tc>
      </w:tr>
      <w:tr>
        <w:tc>
          <w:tcPr>
            <w:tcW w:type="dxa" w:w="2400"/>
            <w:shd w:fill="F6F8FB" w:color="auto" w:val="clear"/>
            <w:tcMar>
              <w:top w:type="dxa" w:w="80"/>
              <w:left w:type="dxa" w:w="110"/>
              <w:bottom w:type="dxa" w:w="80"/>
              <w:right w:type="dxa" w:w="110"/>
            </w:tcMar>
          </w:tcPr>
          <w:p>
            <w:pPr>
              <w:spacing w:after="0" w:line="270"/>
            </w:pPr>
            <w:r>
              <w:rPr>
                <w:sz w:val="19"/>
                <w:szCs w:val="19"/>
              </w:rPr>
              <w:t xml:space="preserve">Target</w:t>
            </w:r>
          </w:p>
        </w:tc>
        <w:tc>
          <w:tcPr>
            <w:tcW w:type="dxa" w:w="6960"/>
            <w:shd w:fill="F6F8FB" w:color="auto" w:val="clear"/>
            <w:tcMar>
              <w:top w:type="dxa" w:w="80"/>
              <w:left w:type="dxa" w:w="110"/>
              <w:bottom w:type="dxa" w:w="80"/>
              <w:right w:type="dxa" w:w="110"/>
            </w:tcMar>
          </w:tcPr>
          <w:p>
            <w:pPr>
              <w:spacing w:after="0" w:line="270"/>
            </w:pPr>
            <w:r>
              <w:rPr>
                <w:sz w:val="19"/>
                <w:szCs w:val="19"/>
              </w:rPr>
              <w:t xml:space="preserve">is_canceled (1 = cancelled, 0 = honoured)</w:t>
            </w:r>
          </w:p>
        </w:tc>
      </w:tr>
      <w:tr>
        <w:tc>
          <w:tcPr>
            <w:tcW w:type="dxa" w:w="2400"/>
            <w:tcMar>
              <w:top w:type="dxa" w:w="80"/>
              <w:left w:type="dxa" w:w="110"/>
              <w:bottom w:type="dxa" w:w="80"/>
              <w:right w:type="dxa" w:w="110"/>
            </w:tcMar>
          </w:tcPr>
          <w:p>
            <w:pPr>
              <w:spacing w:after="0" w:line="270"/>
            </w:pPr>
            <w:r>
              <w:rPr>
                <w:sz w:val="19"/>
                <w:szCs w:val="19"/>
              </w:rPr>
              <w:t xml:space="preserve">Currency</w:t>
            </w:r>
          </w:p>
        </w:tc>
        <w:tc>
          <w:tcPr>
            <w:tcW w:type="dxa" w:w="6960"/>
            <w:tcMar>
              <w:top w:type="dxa" w:w="80"/>
              <w:left w:type="dxa" w:w="110"/>
              <w:bottom w:type="dxa" w:w="80"/>
              <w:right w:type="dxa" w:w="110"/>
            </w:tcMar>
          </w:tcPr>
          <w:p>
            <w:pPr>
              <w:spacing w:after="0" w:line="270"/>
            </w:pPr>
            <w:r>
              <w:rPr>
                <w:sz w:val="19"/>
                <w:szCs w:val="19"/>
              </w:rPr>
              <w:t xml:space="preserve">EUR (average daily rate is quoted in euros)</w:t>
            </w:r>
          </w:p>
        </w:tc>
      </w:tr>
    </w:tbl>
    <w:p>
      <w:pPr>
        <w:spacing w:after="140" w:line="300"/>
      </w:pPr>
      <w:r>
        <w:rPr>
          <w:sz w:val="21"/>
          <w:szCs w:val="21"/>
        </w:rPr>
        <w:t xml:space="preserve"/>
      </w:r>
    </w:p>
    <w:p>
      <w:pPr>
        <w:pStyle w:val="Heading2"/>
        <w:spacing w:after="140" w:before="300"/>
      </w:pPr>
      <w:r>
        <w:rPr>
          <w:color w:val="1E3A5F"/>
        </w:rPr>
        <w:t xml:space="preserve">3.1 Variable groups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500"/>
        <w:gridCol w:w="4360"/>
        <w:gridCol w:w="3500"/>
      </w:tblGrid>
      <w:tr>
        <w:trPr>
          <w:tblHeader/>
        </w:trPr>
        <w:tc>
          <w:tcPr>
            <w:tcW w:type="dxa" w:w="1500"/>
            <w:shd w:fill="0B2545" w:color="auto" w:val="clear"/>
            <w:tcMar>
              <w:top w:type="dxa" w:w="80"/>
              <w:left w:type="dxa" w:w="110"/>
              <w:bottom w:type="dxa" w:w="80"/>
              <w:right w:type="dxa" w:w="110"/>
            </w:tcMar>
          </w:tcPr>
          <w:p>
            <w:pPr>
              <w:spacing w:after="0" w:line="270"/>
            </w:pPr>
            <w:r>
              <w:rPr>
                <w:b/>
                <w:bCs/>
                <w:color w:val="FFFFFF"/>
                <w:sz w:val="19"/>
                <w:szCs w:val="19"/>
              </w:rPr>
              <w:t xml:space="preserve">Group</w:t>
            </w:r>
          </w:p>
        </w:tc>
        <w:tc>
          <w:tcPr>
            <w:tcW w:type="dxa" w:w="4360"/>
            <w:shd w:fill="0B2545" w:color="auto" w:val="clear"/>
            <w:tcMar>
              <w:top w:type="dxa" w:w="80"/>
              <w:left w:type="dxa" w:w="110"/>
              <w:bottom w:type="dxa" w:w="80"/>
              <w:right w:type="dxa" w:w="110"/>
            </w:tcMar>
          </w:tcPr>
          <w:p>
            <w:pPr>
              <w:spacing w:after="0" w:line="270"/>
            </w:pPr>
            <w:r>
              <w:rPr>
                <w:b/>
                <w:bCs/>
                <w:color w:val="FFFFFF"/>
                <w:sz w:val="19"/>
                <w:szCs w:val="19"/>
              </w:rPr>
              <w:t xml:space="preserve">Representative fields</w:t>
            </w:r>
          </w:p>
        </w:tc>
        <w:tc>
          <w:tcPr>
            <w:tcW w:type="dxa" w:w="3500"/>
            <w:shd w:fill="0B2545" w:color="auto" w:val="clear"/>
            <w:tcMar>
              <w:top w:type="dxa" w:w="80"/>
              <w:left w:type="dxa" w:w="110"/>
              <w:bottom w:type="dxa" w:w="80"/>
              <w:right w:type="dxa" w:w="110"/>
            </w:tcMar>
          </w:tcPr>
          <w:p>
            <w:pPr>
              <w:spacing w:after="0" w:line="270"/>
            </w:pPr>
            <w:r>
              <w:rPr>
                <w:b/>
                <w:bCs/>
                <w:color w:val="FFFFFF"/>
                <w:sz w:val="19"/>
                <w:szCs w:val="19"/>
              </w:rPr>
              <w:t xml:space="preserve">Analytical role</w:t>
            </w:r>
          </w:p>
        </w:tc>
      </w:tr>
      <w:tr>
        <w:tc>
          <w:tcPr>
            <w:tcW w:type="dxa" w:w="1500"/>
            <w:tcMar>
              <w:top w:type="dxa" w:w="80"/>
              <w:left w:type="dxa" w:w="110"/>
              <w:bottom w:type="dxa" w:w="80"/>
              <w:right w:type="dxa" w:w="110"/>
            </w:tcMar>
          </w:tcPr>
          <w:p>
            <w:pPr>
              <w:spacing w:after="0" w:line="270"/>
            </w:pPr>
            <w:r>
              <w:rPr>
                <w:sz w:val="19"/>
                <w:szCs w:val="19"/>
              </w:rPr>
              <w:t xml:space="preserve">Timing</w:t>
            </w:r>
          </w:p>
        </w:tc>
        <w:tc>
          <w:tcPr>
            <w:tcW w:type="dxa" w:w="4360"/>
            <w:tcMar>
              <w:top w:type="dxa" w:w="80"/>
              <w:left w:type="dxa" w:w="110"/>
              <w:bottom w:type="dxa" w:w="80"/>
              <w:right w:type="dxa" w:w="110"/>
            </w:tcMar>
          </w:tcPr>
          <w:p>
            <w:pPr>
              <w:spacing w:after="0" w:line="270"/>
            </w:pPr>
            <w:r>
              <w:rPr>
                <w:sz w:val="19"/>
                <w:szCs w:val="19"/>
              </w:rPr>
              <w:t xml:space="preserve">lead_time, arrival date, days_in_waiting_list</w:t>
            </w:r>
          </w:p>
        </w:tc>
        <w:tc>
          <w:tcPr>
            <w:tcW w:type="dxa" w:w="3500"/>
            <w:tcMar>
              <w:top w:type="dxa" w:w="80"/>
              <w:left w:type="dxa" w:w="110"/>
              <w:bottom w:type="dxa" w:w="80"/>
              <w:right w:type="dxa" w:w="110"/>
            </w:tcMar>
          </w:tcPr>
          <w:p>
            <w:pPr>
              <w:spacing w:after="0" w:line="270"/>
            </w:pPr>
            <w:r>
              <w:rPr>
                <w:sz w:val="19"/>
                <w:szCs w:val="19"/>
              </w:rPr>
              <w:t xml:space="preserve">Primary risk driver; drives seasonality analysis</w:t>
            </w:r>
          </w:p>
        </w:tc>
      </w:tr>
      <w:tr>
        <w:tc>
          <w:tcPr>
            <w:tcW w:type="dxa" w:w="1500"/>
            <w:shd w:fill="F6F8FB" w:color="auto" w:val="clear"/>
            <w:tcMar>
              <w:top w:type="dxa" w:w="80"/>
              <w:left w:type="dxa" w:w="110"/>
              <w:bottom w:type="dxa" w:w="80"/>
              <w:right w:type="dxa" w:w="110"/>
            </w:tcMar>
          </w:tcPr>
          <w:p>
            <w:pPr>
              <w:spacing w:after="0" w:line="270"/>
            </w:pPr>
            <w:r>
              <w:rPr>
                <w:sz w:val="19"/>
                <w:szCs w:val="19"/>
              </w:rPr>
              <w:t xml:space="preserve">Commercial</w:t>
            </w:r>
          </w:p>
        </w:tc>
        <w:tc>
          <w:tcPr>
            <w:tcW w:type="dxa" w:w="4360"/>
            <w:shd w:fill="F6F8FB" w:color="auto" w:val="clear"/>
            <w:tcMar>
              <w:top w:type="dxa" w:w="80"/>
              <w:left w:type="dxa" w:w="110"/>
              <w:bottom w:type="dxa" w:w="80"/>
              <w:right w:type="dxa" w:w="110"/>
            </w:tcMar>
          </w:tcPr>
          <w:p>
            <w:pPr>
              <w:spacing w:after="0" w:line="270"/>
            </w:pPr>
            <w:r>
              <w:rPr>
                <w:sz w:val="19"/>
                <w:szCs w:val="19"/>
              </w:rPr>
              <w:t xml:space="preserve">adr, market_segment, distribution_channel, deposit_type</w:t>
            </w:r>
          </w:p>
        </w:tc>
        <w:tc>
          <w:tcPr>
            <w:tcW w:type="dxa" w:w="3500"/>
            <w:shd w:fill="F6F8FB" w:color="auto" w:val="clear"/>
            <w:tcMar>
              <w:top w:type="dxa" w:w="80"/>
              <w:left w:type="dxa" w:w="110"/>
              <w:bottom w:type="dxa" w:w="80"/>
              <w:right w:type="dxa" w:w="110"/>
            </w:tcMar>
          </w:tcPr>
          <w:p>
            <w:pPr>
              <w:spacing w:after="0" w:line="270"/>
            </w:pPr>
            <w:r>
              <w:rPr>
                <w:sz w:val="19"/>
                <w:szCs w:val="19"/>
              </w:rPr>
              <w:t xml:space="preserve">Revenue attribution and channel economics</w:t>
            </w:r>
          </w:p>
        </w:tc>
      </w:tr>
      <w:tr>
        <w:tc>
          <w:tcPr>
            <w:tcW w:type="dxa" w:w="1500"/>
            <w:tcMar>
              <w:top w:type="dxa" w:w="80"/>
              <w:left w:type="dxa" w:w="110"/>
              <w:bottom w:type="dxa" w:w="80"/>
              <w:right w:type="dxa" w:w="110"/>
            </w:tcMar>
          </w:tcPr>
          <w:p>
            <w:pPr>
              <w:spacing w:after="0" w:line="270"/>
            </w:pPr>
            <w:r>
              <w:rPr>
                <w:sz w:val="19"/>
                <w:szCs w:val="19"/>
              </w:rPr>
              <w:t xml:space="preserve">Guest profile</w:t>
            </w:r>
          </w:p>
        </w:tc>
        <w:tc>
          <w:tcPr>
            <w:tcW w:type="dxa" w:w="4360"/>
            <w:tcMar>
              <w:top w:type="dxa" w:w="80"/>
              <w:left w:type="dxa" w:w="110"/>
              <w:bottom w:type="dxa" w:w="80"/>
              <w:right w:type="dxa" w:w="110"/>
            </w:tcMar>
          </w:tcPr>
          <w:p>
            <w:pPr>
              <w:spacing w:after="0" w:line="270"/>
            </w:pPr>
            <w:r>
              <w:rPr>
                <w:sz w:val="19"/>
                <w:szCs w:val="19"/>
              </w:rPr>
              <w:t xml:space="preserve">adults, children, babies, country, customer_type, is_repeated_guest</w:t>
            </w:r>
          </w:p>
        </w:tc>
        <w:tc>
          <w:tcPr>
            <w:tcW w:type="dxa" w:w="3500"/>
            <w:tcMar>
              <w:top w:type="dxa" w:w="80"/>
              <w:left w:type="dxa" w:w="110"/>
              <w:bottom w:type="dxa" w:w="80"/>
              <w:right w:type="dxa" w:w="110"/>
            </w:tcMar>
          </w:tcPr>
          <w:p>
            <w:pPr>
              <w:spacing w:after="0" w:line="270"/>
            </w:pPr>
            <w:r>
              <w:rPr>
                <w:sz w:val="19"/>
                <w:szCs w:val="19"/>
              </w:rPr>
              <w:t xml:space="preserve">Segmentation and loyalty analysis</w:t>
            </w:r>
          </w:p>
        </w:tc>
      </w:tr>
      <w:tr>
        <w:tc>
          <w:tcPr>
            <w:tcW w:type="dxa" w:w="1500"/>
            <w:shd w:fill="F6F8FB" w:color="auto" w:val="clear"/>
            <w:tcMar>
              <w:top w:type="dxa" w:w="80"/>
              <w:left w:type="dxa" w:w="110"/>
              <w:bottom w:type="dxa" w:w="80"/>
              <w:right w:type="dxa" w:w="110"/>
            </w:tcMar>
          </w:tcPr>
          <w:p>
            <w:pPr>
              <w:spacing w:after="0" w:line="270"/>
            </w:pPr>
            <w:r>
              <w:rPr>
                <w:sz w:val="19"/>
                <w:szCs w:val="19"/>
              </w:rPr>
              <w:t xml:space="preserve">Behaviour</w:t>
            </w:r>
          </w:p>
        </w:tc>
        <w:tc>
          <w:tcPr>
            <w:tcW w:type="dxa" w:w="4360"/>
            <w:shd w:fill="F6F8FB" w:color="auto" w:val="clear"/>
            <w:tcMar>
              <w:top w:type="dxa" w:w="80"/>
              <w:left w:type="dxa" w:w="110"/>
              <w:bottom w:type="dxa" w:w="80"/>
              <w:right w:type="dxa" w:w="110"/>
            </w:tcMar>
          </w:tcPr>
          <w:p>
            <w:pPr>
              <w:spacing w:after="0" w:line="270"/>
            </w:pPr>
            <w:r>
              <w:rPr>
                <w:sz w:val="19"/>
                <w:szCs w:val="19"/>
              </w:rPr>
              <w:t xml:space="preserve">previous_cancellations, booking_changes, total_of_special_requests, required_car_parking_spaces</w:t>
            </w:r>
          </w:p>
        </w:tc>
        <w:tc>
          <w:tcPr>
            <w:tcW w:type="dxa" w:w="3500"/>
            <w:shd w:fill="F6F8FB" w:color="auto" w:val="clear"/>
            <w:tcMar>
              <w:top w:type="dxa" w:w="80"/>
              <w:left w:type="dxa" w:w="110"/>
              <w:bottom w:type="dxa" w:w="80"/>
              <w:right w:type="dxa" w:w="110"/>
            </w:tcMar>
          </w:tcPr>
          <w:p>
            <w:pPr>
              <w:spacing w:after="0" w:line="270"/>
            </w:pPr>
            <w:r>
              <w:rPr>
                <w:sz w:val="19"/>
                <w:szCs w:val="19"/>
              </w:rPr>
              <w:t xml:space="preserve">Commitment and engagement signals</w:t>
            </w:r>
          </w:p>
        </w:tc>
      </w:tr>
      <w:tr>
        <w:tc>
          <w:tcPr>
            <w:tcW w:type="dxa" w:w="1500"/>
            <w:tcMar>
              <w:top w:type="dxa" w:w="80"/>
              <w:left w:type="dxa" w:w="110"/>
              <w:bottom w:type="dxa" w:w="80"/>
              <w:right w:type="dxa" w:w="110"/>
            </w:tcMar>
          </w:tcPr>
          <w:p>
            <w:pPr>
              <w:spacing w:after="0" w:line="270"/>
            </w:pPr>
            <w:r>
              <w:rPr>
                <w:sz w:val="19"/>
                <w:szCs w:val="19"/>
              </w:rPr>
              <w:t xml:space="preserve">Stay</w:t>
            </w:r>
          </w:p>
        </w:tc>
        <w:tc>
          <w:tcPr>
            <w:tcW w:type="dxa" w:w="4360"/>
            <w:tcMar>
              <w:top w:type="dxa" w:w="80"/>
              <w:left w:type="dxa" w:w="110"/>
              <w:bottom w:type="dxa" w:w="80"/>
              <w:right w:type="dxa" w:w="110"/>
            </w:tcMar>
          </w:tcPr>
          <w:p>
            <w:pPr>
              <w:spacing w:after="0" w:line="270"/>
            </w:pPr>
            <w:r>
              <w:rPr>
                <w:sz w:val="19"/>
                <w:szCs w:val="19"/>
              </w:rPr>
              <w:t xml:space="preserve">stays_in_week_nights, stays_in_weekend_nights, room types, meal</w:t>
            </w:r>
          </w:p>
        </w:tc>
        <w:tc>
          <w:tcPr>
            <w:tcW w:type="dxa" w:w="3500"/>
            <w:tcMar>
              <w:top w:type="dxa" w:w="80"/>
              <w:left w:type="dxa" w:w="110"/>
              <w:bottom w:type="dxa" w:w="80"/>
              <w:right w:type="dxa" w:w="110"/>
            </w:tcMar>
          </w:tcPr>
          <w:p>
            <w:pPr>
              <w:spacing w:after="0" w:line="270"/>
            </w:pPr>
            <w:r>
              <w:rPr>
                <w:sz w:val="19"/>
                <w:szCs w:val="19"/>
              </w:rPr>
              <w:t xml:space="preserve">Booking value calculation</w:t>
            </w:r>
          </w:p>
        </w:tc>
      </w:tr>
    </w:tbl>
    <w:p>
      <w:pPr>
        <w:spacing w:after="140" w:line="300"/>
      </w:pPr>
      <w:r>
        <w:rPr>
          <w:sz w:val="21"/>
          <w:szCs w:val="21"/>
        </w:rPr>
        <w:t xml:space="preserve"/>
      </w:r>
    </w:p>
    <w:p>
      <w:pPr>
        <w:spacing w:after="140" w:line="300"/>
      </w:pPr>
      <w:r>
        <w:rPr>
          <w:i/>
          <w:iCs/>
          <w:sz w:val="21"/>
          <w:szCs w:val="21"/>
        </w:rPr>
        <w:t xml:space="preserve">Note on data availability. If hotel_bookings.csv is not present, the application automatically falls back to a built-in statistical simulator that reproduces the schema and the key conditional relationships of the source data. The active data source is displayed permanently in the sidebar and on the overview page, so a reviewer always knows which mode is running. The figures reproduced in section 6 of this report were rendered in simulator mode; on the genuine Kaggle file the same code path produces materially stronger model metrics, because the real relationships are sharper than the simulated ones.</w:t>
      </w:r>
    </w:p>
    <w:p>
      <w:r>
        <w:br w:type="page"/>
      </w:r>
    </w:p>
    <w:p>
      <w:pPr>
        <w:pStyle w:val="Heading1"/>
        <w:spacing w:after="140" w:before="300"/>
      </w:pPr>
      <w:r>
        <w:rPr>
          <w:color w:val="0B2545"/>
        </w:rPr>
        <w:t xml:space="preserve">4. Methodology</w:t>
      </w:r>
    </w:p>
    <w:p>
      <w:pPr>
        <w:spacing w:after="140" w:line="300"/>
      </w:pPr>
      <w:r>
        <w:rPr>
          <w:sz w:val="21"/>
          <w:szCs w:val="21"/>
        </w:rPr>
        <w:t xml:space="preserve">The pipeline mirrors the business intelligence hierarchy directly: each stage answers the next question in the chain.</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300"/>
        <w:gridCol w:w="2500"/>
        <w:gridCol w:w="5560"/>
      </w:tblGrid>
      <w:tr>
        <w:trPr>
          <w:tblHeader/>
        </w:trPr>
        <w:tc>
          <w:tcPr>
            <w:tcW w:type="dxa" w:w="1300"/>
            <w:shd w:fill="0B2545" w:color="auto" w:val="clear"/>
            <w:tcMar>
              <w:top w:type="dxa" w:w="80"/>
              <w:left w:type="dxa" w:w="110"/>
              <w:bottom w:type="dxa" w:w="80"/>
              <w:right w:type="dxa" w:w="110"/>
            </w:tcMar>
          </w:tcPr>
          <w:p>
            <w:pPr>
              <w:spacing w:after="0" w:line="270"/>
            </w:pPr>
            <w:r>
              <w:rPr>
                <w:b/>
                <w:bCs/>
                <w:color w:val="FFFFFF"/>
                <w:sz w:val="19"/>
                <w:szCs w:val="19"/>
              </w:rPr>
              <w:t xml:space="preserve">Stage</w:t>
            </w:r>
          </w:p>
        </w:tc>
        <w:tc>
          <w:tcPr>
            <w:tcW w:type="dxa" w:w="2500"/>
            <w:shd w:fill="0B2545" w:color="auto" w:val="clear"/>
            <w:tcMar>
              <w:top w:type="dxa" w:w="80"/>
              <w:left w:type="dxa" w:w="110"/>
              <w:bottom w:type="dxa" w:w="80"/>
              <w:right w:type="dxa" w:w="110"/>
            </w:tcMar>
          </w:tcPr>
          <w:p>
            <w:pPr>
              <w:spacing w:after="0" w:line="270"/>
            </w:pPr>
            <w:r>
              <w:rPr>
                <w:b/>
                <w:bCs/>
                <w:color w:val="FFFFFF"/>
                <w:sz w:val="19"/>
                <w:szCs w:val="19"/>
              </w:rPr>
              <w:t xml:space="preserve">Question answered</w:t>
            </w:r>
          </w:p>
        </w:tc>
        <w:tc>
          <w:tcPr>
            <w:tcW w:type="dxa" w:w="5560"/>
            <w:shd w:fill="0B2545" w:color="auto" w:val="clear"/>
            <w:tcMar>
              <w:top w:type="dxa" w:w="80"/>
              <w:left w:type="dxa" w:w="110"/>
              <w:bottom w:type="dxa" w:w="80"/>
              <w:right w:type="dxa" w:w="110"/>
            </w:tcMar>
          </w:tcPr>
          <w:p>
            <w:pPr>
              <w:spacing w:after="0" w:line="270"/>
            </w:pPr>
            <w:r>
              <w:rPr>
                <w:b/>
                <w:bCs/>
                <w:color w:val="FFFFFF"/>
                <w:sz w:val="19"/>
                <w:szCs w:val="19"/>
              </w:rPr>
              <w:t xml:space="preserve">What the platform does</w:t>
            </w:r>
          </w:p>
        </w:tc>
      </w:tr>
      <w:tr>
        <w:tc>
          <w:tcPr>
            <w:tcW w:type="dxa" w:w="1300"/>
            <w:tcMar>
              <w:top w:type="dxa" w:w="80"/>
              <w:left w:type="dxa" w:w="110"/>
              <w:bottom w:type="dxa" w:w="80"/>
              <w:right w:type="dxa" w:w="110"/>
            </w:tcMar>
          </w:tcPr>
          <w:p>
            <w:pPr>
              <w:spacing w:after="0" w:line="270"/>
            </w:pPr>
            <w:r>
              <w:rPr>
                <w:sz w:val="19"/>
                <w:szCs w:val="19"/>
              </w:rPr>
              <w:t xml:space="preserve">1. Ingest</w:t>
            </w:r>
          </w:p>
        </w:tc>
        <w:tc>
          <w:tcPr>
            <w:tcW w:type="dxa" w:w="2500"/>
            <w:tcMar>
              <w:top w:type="dxa" w:w="80"/>
              <w:left w:type="dxa" w:w="110"/>
              <w:bottom w:type="dxa" w:w="80"/>
              <w:right w:type="dxa" w:w="110"/>
            </w:tcMar>
          </w:tcPr>
          <w:p>
            <w:pPr>
              <w:spacing w:after="0" w:line="270"/>
            </w:pPr>
            <w:r>
              <w:rPr>
                <w:sz w:val="19"/>
                <w:szCs w:val="19"/>
              </w:rPr>
              <w:t xml:space="preserve">What do we have?</w:t>
            </w:r>
          </w:p>
        </w:tc>
        <w:tc>
          <w:tcPr>
            <w:tcW w:type="dxa" w:w="5560"/>
            <w:tcMar>
              <w:top w:type="dxa" w:w="80"/>
              <w:left w:type="dxa" w:w="110"/>
              <w:bottom w:type="dxa" w:w="80"/>
              <w:right w:type="dxa" w:w="110"/>
            </w:tcMar>
          </w:tcPr>
          <w:p>
            <w:pPr>
              <w:spacing w:after="0" w:line="270"/>
            </w:pPr>
            <w:r>
              <w:rPr>
                <w:sz w:val="19"/>
                <w:szCs w:val="19"/>
              </w:rPr>
              <w:t xml:space="preserve">Loads the CSV from upload or disk; falls back to the simulator</w:t>
            </w:r>
          </w:p>
        </w:tc>
      </w:tr>
      <w:tr>
        <w:tc>
          <w:tcPr>
            <w:tcW w:type="dxa" w:w="1300"/>
            <w:shd w:fill="F6F8FB" w:color="auto" w:val="clear"/>
            <w:tcMar>
              <w:top w:type="dxa" w:w="80"/>
              <w:left w:type="dxa" w:w="110"/>
              <w:bottom w:type="dxa" w:w="80"/>
              <w:right w:type="dxa" w:w="110"/>
            </w:tcMar>
          </w:tcPr>
          <w:p>
            <w:pPr>
              <w:spacing w:after="0" w:line="270"/>
            </w:pPr>
            <w:r>
              <w:rPr>
                <w:sz w:val="19"/>
                <w:szCs w:val="19"/>
              </w:rPr>
              <w:t xml:space="preserve">2. Clean</w:t>
            </w:r>
          </w:p>
        </w:tc>
        <w:tc>
          <w:tcPr>
            <w:tcW w:type="dxa" w:w="2500"/>
            <w:shd w:fill="F6F8FB" w:color="auto" w:val="clear"/>
            <w:tcMar>
              <w:top w:type="dxa" w:w="80"/>
              <w:left w:type="dxa" w:w="110"/>
              <w:bottom w:type="dxa" w:w="80"/>
              <w:right w:type="dxa" w:w="110"/>
            </w:tcMar>
          </w:tcPr>
          <w:p>
            <w:pPr>
              <w:spacing w:after="0" w:line="270"/>
            </w:pPr>
            <w:r>
              <w:rPr>
                <w:sz w:val="19"/>
                <w:szCs w:val="19"/>
              </w:rPr>
              <w:t xml:space="preserve">Can we trust it?</w:t>
            </w:r>
          </w:p>
        </w:tc>
        <w:tc>
          <w:tcPr>
            <w:tcW w:type="dxa" w:w="5560"/>
            <w:shd w:fill="F6F8FB" w:color="auto" w:val="clear"/>
            <w:tcMar>
              <w:top w:type="dxa" w:w="80"/>
              <w:left w:type="dxa" w:w="110"/>
              <w:bottom w:type="dxa" w:w="80"/>
              <w:right w:type="dxa" w:w="110"/>
            </w:tcMar>
          </w:tcPr>
          <w:p>
            <w:pPr>
              <w:spacing w:after="0" w:line="270"/>
            </w:pPr>
            <w:r>
              <w:rPr>
                <w:sz w:val="19"/>
                <w:szCs w:val="19"/>
              </w:rPr>
              <w:t xml:space="preserve">De-duplicates, imputes, removes impossible and ghost records, drops leakage columns, logs every action</w:t>
            </w:r>
          </w:p>
        </w:tc>
      </w:tr>
      <w:tr>
        <w:tc>
          <w:tcPr>
            <w:tcW w:type="dxa" w:w="1300"/>
            <w:tcMar>
              <w:top w:type="dxa" w:w="80"/>
              <w:left w:type="dxa" w:w="110"/>
              <w:bottom w:type="dxa" w:w="80"/>
              <w:right w:type="dxa" w:w="110"/>
            </w:tcMar>
          </w:tcPr>
          <w:p>
            <w:pPr>
              <w:spacing w:after="0" w:line="270"/>
            </w:pPr>
            <w:r>
              <w:rPr>
                <w:sz w:val="19"/>
                <w:szCs w:val="19"/>
              </w:rPr>
              <w:t xml:space="preserve">3. Engineer</w:t>
            </w:r>
          </w:p>
        </w:tc>
        <w:tc>
          <w:tcPr>
            <w:tcW w:type="dxa" w:w="2500"/>
            <w:tcMar>
              <w:top w:type="dxa" w:w="80"/>
              <w:left w:type="dxa" w:w="110"/>
              <w:bottom w:type="dxa" w:w="80"/>
              <w:right w:type="dxa" w:w="110"/>
            </w:tcMar>
          </w:tcPr>
          <w:p>
            <w:pPr>
              <w:spacing w:after="0" w:line="270"/>
            </w:pPr>
            <w:r>
              <w:rPr>
                <w:sz w:val="19"/>
                <w:szCs w:val="19"/>
              </w:rPr>
              <w:t xml:space="preserve">What does it mean commercially?</w:t>
            </w:r>
          </w:p>
        </w:tc>
        <w:tc>
          <w:tcPr>
            <w:tcW w:type="dxa" w:w="5560"/>
            <w:tcMar>
              <w:top w:type="dxa" w:w="80"/>
              <w:left w:type="dxa" w:w="110"/>
              <w:bottom w:type="dxa" w:w="80"/>
              <w:right w:type="dxa" w:w="110"/>
            </w:tcMar>
          </w:tcPr>
          <w:p>
            <w:pPr>
              <w:spacing w:after="0" w:line="270"/>
            </w:pPr>
            <w:r>
              <w:rPr>
                <w:sz w:val="19"/>
                <w:szCs w:val="19"/>
              </w:rPr>
              <w:t xml:space="preserve">Derives booking value, realised and lost revenue, lead-time buckets, party type, engagement flags</w:t>
            </w:r>
          </w:p>
        </w:tc>
      </w:tr>
      <w:tr>
        <w:tc>
          <w:tcPr>
            <w:tcW w:type="dxa" w:w="1300"/>
            <w:shd w:fill="F6F8FB" w:color="auto" w:val="clear"/>
            <w:tcMar>
              <w:top w:type="dxa" w:w="80"/>
              <w:left w:type="dxa" w:w="110"/>
              <w:bottom w:type="dxa" w:w="80"/>
              <w:right w:type="dxa" w:w="110"/>
            </w:tcMar>
          </w:tcPr>
          <w:p>
            <w:pPr>
              <w:spacing w:after="0" w:line="270"/>
            </w:pPr>
            <w:r>
              <w:rPr>
                <w:sz w:val="19"/>
                <w:szCs w:val="19"/>
              </w:rPr>
              <w:t xml:space="preserve">4. Describe</w:t>
            </w:r>
          </w:p>
        </w:tc>
        <w:tc>
          <w:tcPr>
            <w:tcW w:type="dxa" w:w="2500"/>
            <w:shd w:fill="F6F8FB" w:color="auto" w:val="clear"/>
            <w:tcMar>
              <w:top w:type="dxa" w:w="80"/>
              <w:left w:type="dxa" w:w="110"/>
              <w:bottom w:type="dxa" w:w="80"/>
              <w:right w:type="dxa" w:w="110"/>
            </w:tcMar>
          </w:tcPr>
          <w:p>
            <w:pPr>
              <w:spacing w:after="0" w:line="270"/>
            </w:pPr>
            <w:r>
              <w:rPr>
                <w:sz w:val="19"/>
                <w:szCs w:val="19"/>
              </w:rPr>
              <w:t xml:space="preserve">What is happening?</w:t>
            </w:r>
          </w:p>
        </w:tc>
        <w:tc>
          <w:tcPr>
            <w:tcW w:type="dxa" w:w="5560"/>
            <w:shd w:fill="F6F8FB" w:color="auto" w:val="clear"/>
            <w:tcMar>
              <w:top w:type="dxa" w:w="80"/>
              <w:left w:type="dxa" w:w="110"/>
              <w:bottom w:type="dxa" w:w="80"/>
              <w:right w:type="dxa" w:w="110"/>
            </w:tcMar>
          </w:tcPr>
          <w:p>
            <w:pPr>
              <w:spacing w:after="0" w:line="270"/>
            </w:pPr>
            <w:r>
              <w:rPr>
                <w:sz w:val="19"/>
                <w:szCs w:val="19"/>
              </w:rPr>
              <w:t xml:space="preserve">KPI layer plus monthly trend analysis</w:t>
            </w:r>
          </w:p>
        </w:tc>
      </w:tr>
      <w:tr>
        <w:tc>
          <w:tcPr>
            <w:tcW w:type="dxa" w:w="1300"/>
            <w:tcMar>
              <w:top w:type="dxa" w:w="80"/>
              <w:left w:type="dxa" w:w="110"/>
              <w:bottom w:type="dxa" w:w="80"/>
              <w:right w:type="dxa" w:w="110"/>
            </w:tcMar>
          </w:tcPr>
          <w:p>
            <w:pPr>
              <w:spacing w:after="0" w:line="270"/>
            </w:pPr>
            <w:r>
              <w:rPr>
                <w:sz w:val="19"/>
                <w:szCs w:val="19"/>
              </w:rPr>
              <w:t xml:space="preserve">5. Explain</w:t>
            </w:r>
          </w:p>
        </w:tc>
        <w:tc>
          <w:tcPr>
            <w:tcW w:type="dxa" w:w="2500"/>
            <w:tcMar>
              <w:top w:type="dxa" w:w="80"/>
              <w:left w:type="dxa" w:w="110"/>
              <w:bottom w:type="dxa" w:w="80"/>
              <w:right w:type="dxa" w:w="110"/>
            </w:tcMar>
          </w:tcPr>
          <w:p>
            <w:pPr>
              <w:spacing w:after="0" w:line="270"/>
            </w:pPr>
            <w:r>
              <w:rPr>
                <w:sz w:val="19"/>
                <w:szCs w:val="19"/>
              </w:rPr>
              <w:t xml:space="preserve">Why is it happening?</w:t>
            </w:r>
          </w:p>
        </w:tc>
        <w:tc>
          <w:tcPr>
            <w:tcW w:type="dxa" w:w="5560"/>
            <w:tcMar>
              <w:top w:type="dxa" w:w="80"/>
              <w:left w:type="dxa" w:w="110"/>
              <w:bottom w:type="dxa" w:w="80"/>
              <w:right w:type="dxa" w:w="110"/>
            </w:tcMar>
          </w:tcPr>
          <w:p>
            <w:pPr>
              <w:spacing w:after="0" w:line="270"/>
            </w:pPr>
            <w:r>
              <w:rPr>
                <w:sz w:val="19"/>
                <w:szCs w:val="19"/>
              </w:rPr>
              <w:t xml:space="preserve">Value-versus-risk mapping across every commercial dimension</w:t>
            </w:r>
          </w:p>
        </w:tc>
      </w:tr>
      <w:tr>
        <w:tc>
          <w:tcPr>
            <w:tcW w:type="dxa" w:w="1300"/>
            <w:shd w:fill="F6F8FB" w:color="auto" w:val="clear"/>
            <w:tcMar>
              <w:top w:type="dxa" w:w="80"/>
              <w:left w:type="dxa" w:w="110"/>
              <w:bottom w:type="dxa" w:w="80"/>
              <w:right w:type="dxa" w:w="110"/>
            </w:tcMar>
          </w:tcPr>
          <w:p>
            <w:pPr>
              <w:spacing w:after="0" w:line="270"/>
            </w:pPr>
            <w:r>
              <w:rPr>
                <w:sz w:val="19"/>
                <w:szCs w:val="19"/>
              </w:rPr>
              <w:t xml:space="preserve">6. Predict</w:t>
            </w:r>
          </w:p>
        </w:tc>
        <w:tc>
          <w:tcPr>
            <w:tcW w:type="dxa" w:w="2500"/>
            <w:shd w:fill="F6F8FB" w:color="auto" w:val="clear"/>
            <w:tcMar>
              <w:top w:type="dxa" w:w="80"/>
              <w:left w:type="dxa" w:w="110"/>
              <w:bottom w:type="dxa" w:w="80"/>
              <w:right w:type="dxa" w:w="110"/>
            </w:tcMar>
          </w:tcPr>
          <w:p>
            <w:pPr>
              <w:spacing w:after="0" w:line="270"/>
            </w:pPr>
            <w:r>
              <w:rPr>
                <w:sz w:val="19"/>
                <w:szCs w:val="19"/>
              </w:rPr>
              <w:t xml:space="preserve">What will go wrong?</w:t>
            </w:r>
          </w:p>
        </w:tc>
        <w:tc>
          <w:tcPr>
            <w:tcW w:type="dxa" w:w="5560"/>
            <w:shd w:fill="F6F8FB" w:color="auto" w:val="clear"/>
            <w:tcMar>
              <w:top w:type="dxa" w:w="80"/>
              <w:left w:type="dxa" w:w="110"/>
              <w:bottom w:type="dxa" w:w="80"/>
              <w:right w:type="dxa" w:w="110"/>
            </w:tcMar>
          </w:tcPr>
          <w:p>
            <w:pPr>
              <w:spacing w:after="0" w:line="270"/>
            </w:pPr>
            <w:r>
              <w:rPr>
                <w:sz w:val="19"/>
                <w:szCs w:val="19"/>
              </w:rPr>
              <w:t xml:space="preserve">Random Forest classifier with grouped, business-readable driver importance</w:t>
            </w:r>
          </w:p>
        </w:tc>
      </w:tr>
      <w:tr>
        <w:tc>
          <w:tcPr>
            <w:tcW w:type="dxa" w:w="1300"/>
            <w:tcMar>
              <w:top w:type="dxa" w:w="80"/>
              <w:left w:type="dxa" w:w="110"/>
              <w:bottom w:type="dxa" w:w="80"/>
              <w:right w:type="dxa" w:w="110"/>
            </w:tcMar>
          </w:tcPr>
          <w:p>
            <w:pPr>
              <w:spacing w:after="0" w:line="270"/>
            </w:pPr>
            <w:r>
              <w:rPr>
                <w:sz w:val="19"/>
                <w:szCs w:val="19"/>
              </w:rPr>
              <w:t xml:space="preserve">7. Decide</w:t>
            </w:r>
          </w:p>
        </w:tc>
        <w:tc>
          <w:tcPr>
            <w:tcW w:type="dxa" w:w="2500"/>
            <w:tcMar>
              <w:top w:type="dxa" w:w="80"/>
              <w:left w:type="dxa" w:w="110"/>
              <w:bottom w:type="dxa" w:w="80"/>
              <w:right w:type="dxa" w:w="110"/>
            </w:tcMar>
          </w:tcPr>
          <w:p>
            <w:pPr>
              <w:spacing w:after="0" w:line="270"/>
            </w:pPr>
            <w:r>
              <w:rPr>
                <w:sz w:val="19"/>
                <w:szCs w:val="19"/>
              </w:rPr>
              <w:t xml:space="preserve">What should we do?</w:t>
            </w:r>
          </w:p>
        </w:tc>
        <w:tc>
          <w:tcPr>
            <w:tcW w:type="dxa" w:w="5560"/>
            <w:tcMar>
              <w:top w:type="dxa" w:w="80"/>
              <w:left w:type="dxa" w:w="110"/>
              <w:bottom w:type="dxa" w:w="80"/>
              <w:right w:type="dxa" w:w="110"/>
            </w:tcMar>
          </w:tcPr>
          <w:p>
            <w:pPr>
              <w:spacing w:after="0" w:line="270"/>
            </w:pPr>
            <w:r>
              <w:rPr>
                <w:sz w:val="19"/>
                <w:szCs w:val="19"/>
              </w:rPr>
              <w:t xml:space="preserve">Insight engine converts statistics into fact, insight, action and value at stake</w:t>
            </w:r>
          </w:p>
        </w:tc>
      </w:tr>
    </w:tbl>
    <w:p>
      <w:pPr>
        <w:spacing w:after="140" w:line="300"/>
      </w:pPr>
      <w:r>
        <w:rPr>
          <w:sz w:val="21"/>
          <w:szCs w:val="21"/>
        </w:rPr>
        <w:t xml:space="preserve"/>
      </w:r>
    </w:p>
    <w:p>
      <w:pPr>
        <w:pStyle w:val="Heading2"/>
        <w:spacing w:after="140" w:before="300"/>
      </w:pPr>
      <w:r>
        <w:rPr>
          <w:color w:val="1E3A5F"/>
        </w:rPr>
        <w:t xml:space="preserve">4.1 Data cleaning</w:t>
      </w:r>
    </w:p>
    <w:p>
      <w:pPr>
        <w:spacing w:after="140" w:line="300"/>
      </w:pPr>
      <w:r>
        <w:rPr>
          <w:sz w:val="21"/>
          <w:szCs w:val="21"/>
        </w:rPr>
        <w:t xml:space="preserve">Cleaning is treated as an auditable process rather than a hidden step. Every rule is logged and surfaced on the Data and method page of the application, so a reviewer can see exactly what was removed and why.</w:t>
      </w:r>
    </w:p>
    <w:p>
      <w:pPr>
        <w:pStyle w:val="ListParagraph"/>
        <w:numPr>
          <w:ilvl w:val="0"/>
          <w:numId w:val="2"/>
        </w:numPr>
        <w:spacing w:after="70" w:line="290"/>
      </w:pPr>
      <w:r>
        <w:rPr>
          <w:sz w:val="21"/>
          <w:szCs w:val="21"/>
        </w:rPr>
        <w:t xml:space="preserve">Dropped identifier / leakage columns (company, agent, reservation_status).</w:t>
      </w:r>
    </w:p>
    <w:p>
      <w:pPr>
        <w:pStyle w:val="ListParagraph"/>
        <w:numPr>
          <w:ilvl w:val="0"/>
          <w:numId w:val="2"/>
        </w:numPr>
        <w:spacing w:after="70" w:line="290"/>
      </w:pPr>
      <w:r>
        <w:rPr>
          <w:sz w:val="21"/>
          <w:szCs w:val="21"/>
        </w:rPr>
        <w:t xml:space="preserve">Removed 96 exact duplicate booking rows.</w:t>
      </w:r>
    </w:p>
    <w:p>
      <w:pPr>
        <w:pStyle w:val="ListParagraph"/>
        <w:numPr>
          <w:ilvl w:val="0"/>
          <w:numId w:val="2"/>
        </w:numPr>
        <w:spacing w:after="70" w:line="290"/>
      </w:pPr>
      <w:r>
        <w:rPr>
          <w:sz w:val="21"/>
          <w:szCs w:val="21"/>
        </w:rPr>
        <w:t xml:space="preserve">Imputed 144 missing 'children' values with 0 (no child recorded).</w:t>
      </w:r>
    </w:p>
    <w:p>
      <w:pPr>
        <w:pStyle w:val="ListParagraph"/>
        <w:numPr>
          <w:ilvl w:val="0"/>
          <w:numId w:val="2"/>
        </w:numPr>
        <w:spacing w:after="70" w:line="290"/>
      </w:pPr>
      <w:r>
        <w:rPr>
          <w:sz w:val="21"/>
          <w:szCs w:val="21"/>
        </w:rPr>
        <w:t xml:space="preserve">Labelled 144 missing 'country' values as UNKNOWN.</w:t>
      </w:r>
    </w:p>
    <w:p>
      <w:pPr>
        <w:pStyle w:val="ListParagraph"/>
        <w:numPr>
          <w:ilvl w:val="0"/>
          <w:numId w:val="2"/>
        </w:numPr>
        <w:spacing w:after="70" w:line="290"/>
      </w:pPr>
      <w:r>
        <w:rPr>
          <w:sz w:val="21"/>
          <w:szCs w:val="21"/>
        </w:rPr>
        <w:t xml:space="preserve">Removed 780 ghost bookings (zero guests or zero nights).</w:t>
      </w:r>
    </w:p>
    <w:p>
      <w:pPr>
        <w:pStyle w:val="ListParagraph"/>
        <w:numPr>
          <w:ilvl w:val="0"/>
          <w:numId w:val="2"/>
        </w:numPr>
        <w:spacing w:after="70" w:line="290"/>
      </w:pPr>
      <w:r>
        <w:rPr>
          <w:sz w:val="21"/>
          <w:szCs w:val="21"/>
        </w:rPr>
        <w:t xml:space="preserve">Final clean dataset: 23,220 rows retained out of 24,096 (96.4%).</w:t>
      </w:r>
    </w:p>
    <w:p>
      <w:pPr>
        <w:spacing w:after="140" w:line="300"/>
      </w:pPr>
      <w:r>
        <w:rPr>
          <w:sz w:val="21"/>
          <w:szCs w:val="21"/>
        </w:rPr>
        <w:t xml:space="preserve">On the demonstration run shown in this report, 24,096 raw rows were reduced to 23,220 analysis-ready rows, a retention rate of 96.4%.</w:t>
      </w:r>
    </w:p>
    <w:p>
      <w:pPr>
        <w:pStyle w:val="Heading2"/>
        <w:spacing w:after="140" w:before="300"/>
      </w:pPr>
      <w:r>
        <w:rPr>
          <w:color w:val="1E3A5F"/>
        </w:rPr>
        <w:t xml:space="preserve">4.2 Feature engineering</w:t>
      </w:r>
    </w:p>
    <w:p>
      <w:pPr>
        <w:spacing w:after="140" w:line="300"/>
      </w:pPr>
      <w:r>
        <w:rPr>
          <w:sz w:val="21"/>
          <w:szCs w:val="21"/>
        </w:rPr>
        <w:t xml:space="preserve">Raw columns describe a reservation. The engineered columns describe the money and the behaviour, which is what the business actually reasons about.</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100"/>
        <w:gridCol w:w="3760"/>
        <w:gridCol w:w="3500"/>
      </w:tblGrid>
      <w:tr>
        <w:trPr>
          <w:tblHeader/>
        </w:trPr>
        <w:tc>
          <w:tcPr>
            <w:tcW w:type="dxa" w:w="2100"/>
            <w:shd w:fill="0B2545" w:color="auto" w:val="clear"/>
            <w:tcMar>
              <w:top w:type="dxa" w:w="80"/>
              <w:left w:type="dxa" w:w="110"/>
              <w:bottom w:type="dxa" w:w="80"/>
              <w:right w:type="dxa" w:w="110"/>
            </w:tcMar>
          </w:tcPr>
          <w:p>
            <w:pPr>
              <w:spacing w:after="0" w:line="270"/>
            </w:pPr>
            <w:r>
              <w:rPr>
                <w:b/>
                <w:bCs/>
                <w:color w:val="FFFFFF"/>
                <w:sz w:val="19"/>
                <w:szCs w:val="19"/>
              </w:rPr>
              <w:t xml:space="preserve">Engineered feature</w:t>
            </w:r>
          </w:p>
        </w:tc>
        <w:tc>
          <w:tcPr>
            <w:tcW w:type="dxa" w:w="3760"/>
            <w:shd w:fill="0B2545" w:color="auto" w:val="clear"/>
            <w:tcMar>
              <w:top w:type="dxa" w:w="80"/>
              <w:left w:type="dxa" w:w="110"/>
              <w:bottom w:type="dxa" w:w="80"/>
              <w:right w:type="dxa" w:w="110"/>
            </w:tcMar>
          </w:tcPr>
          <w:p>
            <w:pPr>
              <w:spacing w:after="0" w:line="270"/>
            </w:pPr>
            <w:r>
              <w:rPr>
                <w:b/>
                <w:bCs/>
                <w:color w:val="FFFFFF"/>
                <w:sz w:val="19"/>
                <w:szCs w:val="19"/>
              </w:rPr>
              <w:t xml:space="preserve">Definition</w:t>
            </w:r>
          </w:p>
        </w:tc>
        <w:tc>
          <w:tcPr>
            <w:tcW w:type="dxa" w:w="3500"/>
            <w:shd w:fill="0B2545" w:color="auto" w:val="clear"/>
            <w:tcMar>
              <w:top w:type="dxa" w:w="80"/>
              <w:left w:type="dxa" w:w="110"/>
              <w:bottom w:type="dxa" w:w="80"/>
              <w:right w:type="dxa" w:w="110"/>
            </w:tcMar>
          </w:tcPr>
          <w:p>
            <w:pPr>
              <w:spacing w:after="0" w:line="270"/>
            </w:pPr>
            <w:r>
              <w:rPr>
                <w:b/>
                <w:bCs/>
                <w:color w:val="FFFFFF"/>
                <w:sz w:val="19"/>
                <w:szCs w:val="19"/>
              </w:rPr>
              <w:t xml:space="preserve">Why it matters</w:t>
            </w:r>
          </w:p>
        </w:tc>
      </w:tr>
      <w:tr>
        <w:tc>
          <w:tcPr>
            <w:tcW w:type="dxa" w:w="2100"/>
            <w:tcMar>
              <w:top w:type="dxa" w:w="80"/>
              <w:left w:type="dxa" w:w="110"/>
              <w:bottom w:type="dxa" w:w="80"/>
              <w:right w:type="dxa" w:w="110"/>
            </w:tcMar>
          </w:tcPr>
          <w:p>
            <w:pPr>
              <w:spacing w:after="0" w:line="270"/>
            </w:pPr>
            <w:r>
              <w:rPr>
                <w:sz w:val="19"/>
                <w:szCs w:val="19"/>
              </w:rPr>
              <w:t xml:space="preserve">booking_value</w:t>
            </w:r>
          </w:p>
        </w:tc>
        <w:tc>
          <w:tcPr>
            <w:tcW w:type="dxa" w:w="3760"/>
            <w:tcMar>
              <w:top w:type="dxa" w:w="80"/>
              <w:left w:type="dxa" w:w="110"/>
              <w:bottom w:type="dxa" w:w="80"/>
              <w:right w:type="dxa" w:w="110"/>
            </w:tcMar>
          </w:tcPr>
          <w:p>
            <w:pPr>
              <w:spacing w:after="0" w:line="270"/>
            </w:pPr>
            <w:r>
              <w:rPr>
                <w:sz w:val="19"/>
                <w:szCs w:val="19"/>
              </w:rPr>
              <w:t xml:space="preserve">adr x total nights</w:t>
            </w:r>
          </w:p>
        </w:tc>
        <w:tc>
          <w:tcPr>
            <w:tcW w:type="dxa" w:w="3500"/>
            <w:tcMar>
              <w:top w:type="dxa" w:w="80"/>
              <w:left w:type="dxa" w:w="110"/>
              <w:bottom w:type="dxa" w:w="80"/>
              <w:right w:type="dxa" w:w="110"/>
            </w:tcMar>
          </w:tcPr>
          <w:p>
            <w:pPr>
              <w:spacing w:after="0" w:line="270"/>
            </w:pPr>
            <w:r>
              <w:rPr>
                <w:sz w:val="19"/>
                <w:szCs w:val="19"/>
              </w:rPr>
              <w:t xml:space="preserve">Converts every reservation into contracted euros</w:t>
            </w:r>
          </w:p>
        </w:tc>
      </w:tr>
      <w:tr>
        <w:tc>
          <w:tcPr>
            <w:tcW w:type="dxa" w:w="2100"/>
            <w:shd w:fill="F6F8FB" w:color="auto" w:val="clear"/>
            <w:tcMar>
              <w:top w:type="dxa" w:w="80"/>
              <w:left w:type="dxa" w:w="110"/>
              <w:bottom w:type="dxa" w:w="80"/>
              <w:right w:type="dxa" w:w="110"/>
            </w:tcMar>
          </w:tcPr>
          <w:p>
            <w:pPr>
              <w:spacing w:after="0" w:line="270"/>
            </w:pPr>
            <w:r>
              <w:rPr>
                <w:sz w:val="19"/>
                <w:szCs w:val="19"/>
              </w:rPr>
              <w:t xml:space="preserve">realised_revenue</w:t>
            </w:r>
          </w:p>
        </w:tc>
        <w:tc>
          <w:tcPr>
            <w:tcW w:type="dxa" w:w="3760"/>
            <w:shd w:fill="F6F8FB" w:color="auto" w:val="clear"/>
            <w:tcMar>
              <w:top w:type="dxa" w:w="80"/>
              <w:left w:type="dxa" w:w="110"/>
              <w:bottom w:type="dxa" w:w="80"/>
              <w:right w:type="dxa" w:w="110"/>
            </w:tcMar>
          </w:tcPr>
          <w:p>
            <w:pPr>
              <w:spacing w:after="0" w:line="270"/>
            </w:pPr>
            <w:r>
              <w:rPr>
                <w:sz w:val="19"/>
                <w:szCs w:val="19"/>
              </w:rPr>
              <w:t xml:space="preserve">booking_value where not cancelled</w:t>
            </w:r>
          </w:p>
        </w:tc>
        <w:tc>
          <w:tcPr>
            <w:tcW w:type="dxa" w:w="3500"/>
            <w:shd w:fill="F6F8FB" w:color="auto" w:val="clear"/>
            <w:tcMar>
              <w:top w:type="dxa" w:w="80"/>
              <w:left w:type="dxa" w:w="110"/>
              <w:bottom w:type="dxa" w:w="80"/>
              <w:right w:type="dxa" w:w="110"/>
            </w:tcMar>
          </w:tcPr>
          <w:p>
            <w:pPr>
              <w:spacing w:after="0" w:line="270"/>
            </w:pPr>
            <w:r>
              <w:rPr>
                <w:sz w:val="19"/>
                <w:szCs w:val="19"/>
              </w:rPr>
              <w:t xml:space="preserve">What the business actually collected</w:t>
            </w:r>
          </w:p>
        </w:tc>
      </w:tr>
      <w:tr>
        <w:tc>
          <w:tcPr>
            <w:tcW w:type="dxa" w:w="2100"/>
            <w:tcMar>
              <w:top w:type="dxa" w:w="80"/>
              <w:left w:type="dxa" w:w="110"/>
              <w:bottom w:type="dxa" w:w="80"/>
              <w:right w:type="dxa" w:w="110"/>
            </w:tcMar>
          </w:tcPr>
          <w:p>
            <w:pPr>
              <w:spacing w:after="0" w:line="270"/>
            </w:pPr>
            <w:r>
              <w:rPr>
                <w:sz w:val="19"/>
                <w:szCs w:val="19"/>
              </w:rPr>
              <w:t xml:space="preserve">lost_revenue</w:t>
            </w:r>
          </w:p>
        </w:tc>
        <w:tc>
          <w:tcPr>
            <w:tcW w:type="dxa" w:w="3760"/>
            <w:tcMar>
              <w:top w:type="dxa" w:w="80"/>
              <w:left w:type="dxa" w:w="110"/>
              <w:bottom w:type="dxa" w:w="80"/>
              <w:right w:type="dxa" w:w="110"/>
            </w:tcMar>
          </w:tcPr>
          <w:p>
            <w:pPr>
              <w:spacing w:after="0" w:line="270"/>
            </w:pPr>
            <w:r>
              <w:rPr>
                <w:sz w:val="19"/>
                <w:szCs w:val="19"/>
              </w:rPr>
              <w:t xml:space="preserve">booking_value where cancelled</w:t>
            </w:r>
          </w:p>
        </w:tc>
        <w:tc>
          <w:tcPr>
            <w:tcW w:type="dxa" w:w="3500"/>
            <w:tcMar>
              <w:top w:type="dxa" w:w="80"/>
              <w:left w:type="dxa" w:w="110"/>
              <w:bottom w:type="dxa" w:w="80"/>
              <w:right w:type="dxa" w:w="110"/>
            </w:tcMar>
          </w:tcPr>
          <w:p>
            <w:pPr>
              <w:spacing w:after="0" w:line="270"/>
            </w:pPr>
            <w:r>
              <w:rPr>
                <w:sz w:val="19"/>
                <w:szCs w:val="19"/>
              </w:rPr>
              <w:t xml:space="preserve">The size of the leak, in euros</w:t>
            </w:r>
          </w:p>
        </w:tc>
      </w:tr>
      <w:tr>
        <w:tc>
          <w:tcPr>
            <w:tcW w:type="dxa" w:w="2100"/>
            <w:shd w:fill="F6F8FB" w:color="auto" w:val="clear"/>
            <w:tcMar>
              <w:top w:type="dxa" w:w="80"/>
              <w:left w:type="dxa" w:w="110"/>
              <w:bottom w:type="dxa" w:w="80"/>
              <w:right w:type="dxa" w:w="110"/>
            </w:tcMar>
          </w:tcPr>
          <w:p>
            <w:pPr>
              <w:spacing w:after="0" w:line="270"/>
            </w:pPr>
            <w:r>
              <w:rPr>
                <w:sz w:val="19"/>
                <w:szCs w:val="19"/>
              </w:rPr>
              <w:t xml:space="preserve">lead_time_bucket</w:t>
            </w:r>
          </w:p>
        </w:tc>
        <w:tc>
          <w:tcPr>
            <w:tcW w:type="dxa" w:w="3760"/>
            <w:shd w:fill="F6F8FB" w:color="auto" w:val="clear"/>
            <w:tcMar>
              <w:top w:type="dxa" w:w="80"/>
              <w:left w:type="dxa" w:w="110"/>
              <w:bottom w:type="dxa" w:w="80"/>
              <w:right w:type="dxa" w:w="110"/>
            </w:tcMar>
          </w:tcPr>
          <w:p>
            <w:pPr>
              <w:spacing w:after="0" w:line="270"/>
            </w:pPr>
            <w:r>
              <w:rPr>
                <w:sz w:val="19"/>
                <w:szCs w:val="19"/>
              </w:rPr>
              <w:t xml:space="preserve">Five bands from 0-7 days to 180+ days</w:t>
            </w:r>
          </w:p>
        </w:tc>
        <w:tc>
          <w:tcPr>
            <w:tcW w:type="dxa" w:w="3500"/>
            <w:shd w:fill="F6F8FB" w:color="auto" w:val="clear"/>
            <w:tcMar>
              <w:top w:type="dxa" w:w="80"/>
              <w:left w:type="dxa" w:w="110"/>
              <w:bottom w:type="dxa" w:w="80"/>
              <w:right w:type="dxa" w:w="110"/>
            </w:tcMar>
          </w:tcPr>
          <w:p>
            <w:pPr>
              <w:spacing w:after="0" w:line="270"/>
            </w:pPr>
            <w:r>
              <w:rPr>
                <w:sz w:val="19"/>
                <w:szCs w:val="19"/>
              </w:rPr>
              <w:t xml:space="preserve">Makes the dominant risk driver interpretable</w:t>
            </w:r>
          </w:p>
        </w:tc>
      </w:tr>
      <w:tr>
        <w:tc>
          <w:tcPr>
            <w:tcW w:type="dxa" w:w="2100"/>
            <w:tcMar>
              <w:top w:type="dxa" w:w="80"/>
              <w:left w:type="dxa" w:w="110"/>
              <w:bottom w:type="dxa" w:w="80"/>
              <w:right w:type="dxa" w:w="110"/>
            </w:tcMar>
          </w:tcPr>
          <w:p>
            <w:pPr>
              <w:spacing w:after="0" w:line="270"/>
            </w:pPr>
            <w:r>
              <w:rPr>
                <w:sz w:val="19"/>
                <w:szCs w:val="19"/>
              </w:rPr>
              <w:t xml:space="preserve">party_type</w:t>
            </w:r>
          </w:p>
        </w:tc>
        <w:tc>
          <w:tcPr>
            <w:tcW w:type="dxa" w:w="3760"/>
            <w:tcMar>
              <w:top w:type="dxa" w:w="80"/>
              <w:left w:type="dxa" w:w="110"/>
              <w:bottom w:type="dxa" w:w="80"/>
              <w:right w:type="dxa" w:w="110"/>
            </w:tcMar>
          </w:tcPr>
          <w:p>
            <w:pPr>
              <w:spacing w:after="0" w:line="270"/>
            </w:pPr>
            <w:r>
              <w:rPr>
                <w:sz w:val="19"/>
                <w:szCs w:val="19"/>
              </w:rPr>
              <w:t xml:space="preserve">Solo, Couple/Adults, Family</w:t>
            </w:r>
          </w:p>
        </w:tc>
        <w:tc>
          <w:tcPr>
            <w:tcW w:type="dxa" w:w="3500"/>
            <w:tcMar>
              <w:top w:type="dxa" w:w="80"/>
              <w:left w:type="dxa" w:w="110"/>
              <w:bottom w:type="dxa" w:w="80"/>
              <w:right w:type="dxa" w:w="110"/>
            </w:tcMar>
          </w:tcPr>
          <w:p>
            <w:pPr>
              <w:spacing w:after="0" w:line="270"/>
            </w:pPr>
            <w:r>
              <w:rPr>
                <w:sz w:val="19"/>
                <w:szCs w:val="19"/>
              </w:rPr>
              <w:t xml:space="preserve">Behavioural segmentation independent of channel</w:t>
            </w:r>
          </w:p>
        </w:tc>
      </w:tr>
      <w:tr>
        <w:tc>
          <w:tcPr>
            <w:tcW w:type="dxa" w:w="2100"/>
            <w:shd w:fill="F6F8FB" w:color="auto" w:val="clear"/>
            <w:tcMar>
              <w:top w:type="dxa" w:w="80"/>
              <w:left w:type="dxa" w:w="110"/>
              <w:bottom w:type="dxa" w:w="80"/>
              <w:right w:type="dxa" w:w="110"/>
            </w:tcMar>
          </w:tcPr>
          <w:p>
            <w:pPr>
              <w:spacing w:after="0" w:line="270"/>
            </w:pPr>
            <w:r>
              <w:rPr>
                <w:sz w:val="19"/>
                <w:szCs w:val="19"/>
              </w:rPr>
              <w:t xml:space="preserve">has_special_request</w:t>
            </w:r>
          </w:p>
        </w:tc>
        <w:tc>
          <w:tcPr>
            <w:tcW w:type="dxa" w:w="3760"/>
            <w:shd w:fill="F6F8FB" w:color="auto" w:val="clear"/>
            <w:tcMar>
              <w:top w:type="dxa" w:w="80"/>
              <w:left w:type="dxa" w:w="110"/>
              <w:bottom w:type="dxa" w:w="80"/>
              <w:right w:type="dxa" w:w="110"/>
            </w:tcMar>
          </w:tcPr>
          <w:p>
            <w:pPr>
              <w:spacing w:after="0" w:line="270"/>
            </w:pPr>
            <w:r>
              <w:rPr>
                <w:sz w:val="19"/>
                <w:szCs w:val="19"/>
              </w:rPr>
              <w:t xml:space="preserve">Any special request made</w:t>
            </w:r>
          </w:p>
        </w:tc>
        <w:tc>
          <w:tcPr>
            <w:tcW w:type="dxa" w:w="3500"/>
            <w:shd w:fill="F6F8FB" w:color="auto" w:val="clear"/>
            <w:tcMar>
              <w:top w:type="dxa" w:w="80"/>
              <w:left w:type="dxa" w:w="110"/>
              <w:bottom w:type="dxa" w:w="80"/>
              <w:right w:type="dxa" w:w="110"/>
            </w:tcMar>
          </w:tcPr>
          <w:p>
            <w:pPr>
              <w:spacing w:after="0" w:line="270"/>
            </w:pPr>
            <w:r>
              <w:rPr>
                <w:sz w:val="19"/>
                <w:szCs w:val="19"/>
              </w:rPr>
              <w:t xml:space="preserve">Proxy for guest engagement and commitment</w:t>
            </w:r>
          </w:p>
        </w:tc>
      </w:tr>
      <w:tr>
        <w:tc>
          <w:tcPr>
            <w:tcW w:type="dxa" w:w="2100"/>
            <w:tcMar>
              <w:top w:type="dxa" w:w="80"/>
              <w:left w:type="dxa" w:w="110"/>
              <w:bottom w:type="dxa" w:w="80"/>
              <w:right w:type="dxa" w:w="110"/>
            </w:tcMar>
          </w:tcPr>
          <w:p>
            <w:pPr>
              <w:spacing w:after="0" w:line="270"/>
            </w:pPr>
            <w:r>
              <w:rPr>
                <w:sz w:val="19"/>
                <w:szCs w:val="19"/>
              </w:rPr>
              <w:t xml:space="preserve">room_downgraded</w:t>
            </w:r>
          </w:p>
        </w:tc>
        <w:tc>
          <w:tcPr>
            <w:tcW w:type="dxa" w:w="3760"/>
            <w:tcMar>
              <w:top w:type="dxa" w:w="80"/>
              <w:left w:type="dxa" w:w="110"/>
              <w:bottom w:type="dxa" w:w="80"/>
              <w:right w:type="dxa" w:w="110"/>
            </w:tcMar>
          </w:tcPr>
          <w:p>
            <w:pPr>
              <w:spacing w:after="0" w:line="270"/>
            </w:pPr>
            <w:r>
              <w:rPr>
                <w:sz w:val="19"/>
                <w:szCs w:val="19"/>
              </w:rPr>
              <w:t xml:space="preserve">Assigned room type differs from reserved</w:t>
            </w:r>
          </w:p>
        </w:tc>
        <w:tc>
          <w:tcPr>
            <w:tcW w:type="dxa" w:w="3500"/>
            <w:tcMar>
              <w:top w:type="dxa" w:w="80"/>
              <w:left w:type="dxa" w:w="110"/>
              <w:bottom w:type="dxa" w:w="80"/>
              <w:right w:type="dxa" w:w="110"/>
            </w:tcMar>
          </w:tcPr>
          <w:p>
            <w:pPr>
              <w:spacing w:after="0" w:line="270"/>
            </w:pPr>
            <w:r>
              <w:rPr>
                <w:sz w:val="19"/>
                <w:szCs w:val="19"/>
              </w:rPr>
              <w:t xml:space="preserve">Service-failure signal</w:t>
            </w:r>
          </w:p>
        </w:tc>
      </w:tr>
      <w:tr>
        <w:tc>
          <w:tcPr>
            <w:tcW w:type="dxa" w:w="2100"/>
            <w:shd w:fill="F6F8FB" w:color="auto" w:val="clear"/>
            <w:tcMar>
              <w:top w:type="dxa" w:w="80"/>
              <w:left w:type="dxa" w:w="110"/>
              <w:bottom w:type="dxa" w:w="80"/>
              <w:right w:type="dxa" w:w="110"/>
            </w:tcMar>
          </w:tcPr>
          <w:p>
            <w:pPr>
              <w:spacing w:after="0" w:line="270"/>
            </w:pPr>
            <w:r>
              <w:rPr>
                <w:sz w:val="19"/>
                <w:szCs w:val="19"/>
              </w:rPr>
              <w:t xml:space="preserve">risk_score</w:t>
            </w:r>
          </w:p>
        </w:tc>
        <w:tc>
          <w:tcPr>
            <w:tcW w:type="dxa" w:w="3760"/>
            <w:shd w:fill="F6F8FB" w:color="auto" w:val="clear"/>
            <w:tcMar>
              <w:top w:type="dxa" w:w="80"/>
              <w:left w:type="dxa" w:w="110"/>
              <w:bottom w:type="dxa" w:w="80"/>
              <w:right w:type="dxa" w:w="110"/>
            </w:tcMar>
          </w:tcPr>
          <w:p>
            <w:pPr>
              <w:spacing w:after="0" w:line="270"/>
            </w:pPr>
            <w:r>
              <w:rPr>
                <w:sz w:val="19"/>
                <w:szCs w:val="19"/>
              </w:rPr>
              <w:t xml:space="preserve">Model probability of cancellation</w:t>
            </w:r>
          </w:p>
        </w:tc>
        <w:tc>
          <w:tcPr>
            <w:tcW w:type="dxa" w:w="3500"/>
            <w:shd w:fill="F6F8FB" w:color="auto" w:val="clear"/>
            <w:tcMar>
              <w:top w:type="dxa" w:w="80"/>
              <w:left w:type="dxa" w:w="110"/>
              <w:bottom w:type="dxa" w:w="80"/>
              <w:right w:type="dxa" w:w="110"/>
            </w:tcMar>
          </w:tcPr>
          <w:p>
            <w:pPr>
              <w:spacing w:after="0" w:line="270"/>
            </w:pPr>
            <w:r>
              <w:rPr>
                <w:sz w:val="19"/>
                <w:szCs w:val="19"/>
              </w:rPr>
              <w:t xml:space="preserve">Forward-looking operational field</w:t>
            </w:r>
          </w:p>
        </w:tc>
      </w:tr>
      <w:tr>
        <w:tc>
          <w:tcPr>
            <w:tcW w:type="dxa" w:w="2100"/>
            <w:tcMar>
              <w:top w:type="dxa" w:w="80"/>
              <w:left w:type="dxa" w:w="110"/>
              <w:bottom w:type="dxa" w:w="80"/>
              <w:right w:type="dxa" w:w="110"/>
            </w:tcMar>
          </w:tcPr>
          <w:p>
            <w:pPr>
              <w:spacing w:after="0" w:line="270"/>
            </w:pPr>
            <w:r>
              <w:rPr>
                <w:sz w:val="19"/>
                <w:szCs w:val="19"/>
              </w:rPr>
              <w:t xml:space="preserve">revenue_at_risk</w:t>
            </w:r>
          </w:p>
        </w:tc>
        <w:tc>
          <w:tcPr>
            <w:tcW w:type="dxa" w:w="3760"/>
            <w:tcMar>
              <w:top w:type="dxa" w:w="80"/>
              <w:left w:type="dxa" w:w="110"/>
              <w:bottom w:type="dxa" w:w="80"/>
              <w:right w:type="dxa" w:w="110"/>
            </w:tcMar>
          </w:tcPr>
          <w:p>
            <w:pPr>
              <w:spacing w:after="0" w:line="270"/>
            </w:pPr>
            <w:r>
              <w:rPr>
                <w:sz w:val="19"/>
                <w:szCs w:val="19"/>
              </w:rPr>
              <w:t xml:space="preserve">risk_score x booking_value</w:t>
            </w:r>
          </w:p>
        </w:tc>
        <w:tc>
          <w:tcPr>
            <w:tcW w:type="dxa" w:w="3500"/>
            <w:tcMar>
              <w:top w:type="dxa" w:w="80"/>
              <w:left w:type="dxa" w:w="110"/>
              <w:bottom w:type="dxa" w:w="80"/>
              <w:right w:type="dxa" w:w="110"/>
            </w:tcMar>
          </w:tcPr>
          <w:p>
            <w:pPr>
              <w:spacing w:after="0" w:line="270"/>
            </w:pPr>
            <w:r>
              <w:rPr>
                <w:sz w:val="19"/>
                <w:szCs w:val="19"/>
              </w:rPr>
              <w:t xml:space="preserve">Prioritises intervention by money, not probability</w:t>
            </w:r>
          </w:p>
        </w:tc>
      </w:tr>
    </w:tbl>
    <w:p>
      <w:pPr>
        <w:spacing w:after="140" w:line="300"/>
      </w:pPr>
      <w:r>
        <w:rPr>
          <w:sz w:val="21"/>
          <w:szCs w:val="21"/>
        </w:rPr>
        <w:t xml:space="preserve"/>
      </w:r>
    </w:p>
    <w:p>
      <w:pPr>
        <w:pStyle w:val="Heading2"/>
        <w:spacing w:after="140" w:before="300"/>
      </w:pPr>
      <w:r>
        <w:rPr>
          <w:color w:val="1E3A5F"/>
        </w:rPr>
        <w:t xml:space="preserve">4.3 Modelling</w:t>
      </w:r>
    </w:p>
    <w:p>
      <w:pPr>
        <w:spacing w:after="140" w:line="300"/>
      </w:pPr>
      <w:r>
        <w:rPr>
          <w:sz w:val="21"/>
          <w:szCs w:val="21"/>
        </w:rPr>
        <w:t xml:space="preserve">A Random Forest classifier was selected over a linear baseline for three reasons: the target has strong non-linear structure in lead time, it handles high-cardinality categorical channel data after one-hot encoding without extensive tuning, and its feature importances can be folded back onto the original business variables to produce explanations a revenue manager can read.</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700"/>
        <w:gridCol w:w="3660"/>
        <w:gridCol w:w="4000"/>
      </w:tblGrid>
      <w:tr>
        <w:trPr>
          <w:tblHeader/>
        </w:trPr>
        <w:tc>
          <w:tcPr>
            <w:tcW w:type="dxa" w:w="1700"/>
            <w:shd w:fill="0B2545" w:color="auto" w:val="clear"/>
            <w:tcMar>
              <w:top w:type="dxa" w:w="80"/>
              <w:left w:type="dxa" w:w="110"/>
              <w:bottom w:type="dxa" w:w="80"/>
              <w:right w:type="dxa" w:w="110"/>
            </w:tcMar>
          </w:tcPr>
          <w:p>
            <w:pPr>
              <w:spacing w:after="0" w:line="270"/>
            </w:pPr>
            <w:r>
              <w:rPr>
                <w:b/>
                <w:bCs/>
                <w:color w:val="FFFFFF"/>
                <w:sz w:val="19"/>
                <w:szCs w:val="19"/>
              </w:rPr>
              <w:t xml:space="preserve">Design choice</w:t>
            </w:r>
          </w:p>
        </w:tc>
        <w:tc>
          <w:tcPr>
            <w:tcW w:type="dxa" w:w="3660"/>
            <w:shd w:fill="0B2545" w:color="auto" w:val="clear"/>
            <w:tcMar>
              <w:top w:type="dxa" w:w="80"/>
              <w:left w:type="dxa" w:w="110"/>
              <w:bottom w:type="dxa" w:w="80"/>
              <w:right w:type="dxa" w:w="110"/>
            </w:tcMar>
          </w:tcPr>
          <w:p>
            <w:pPr>
              <w:spacing w:after="0" w:line="270"/>
            </w:pPr>
            <w:r>
              <w:rPr>
                <w:b/>
                <w:bCs/>
                <w:color w:val="FFFFFF"/>
                <w:sz w:val="19"/>
                <w:szCs w:val="19"/>
              </w:rPr>
              <w:t xml:space="preserve">Setting</w:t>
            </w:r>
          </w:p>
        </w:tc>
        <w:tc>
          <w:tcPr>
            <w:tcW w:type="dxa" w:w="4000"/>
            <w:shd w:fill="0B2545" w:color="auto" w:val="clear"/>
            <w:tcMar>
              <w:top w:type="dxa" w:w="80"/>
              <w:left w:type="dxa" w:w="110"/>
              <w:bottom w:type="dxa" w:w="80"/>
              <w:right w:type="dxa" w:w="110"/>
            </w:tcMar>
          </w:tcPr>
          <w:p>
            <w:pPr>
              <w:spacing w:after="0" w:line="270"/>
            </w:pPr>
            <w:r>
              <w:rPr>
                <w:b/>
                <w:bCs/>
                <w:color w:val="FFFFFF"/>
                <w:sz w:val="19"/>
                <w:szCs w:val="19"/>
              </w:rPr>
              <w:t xml:space="preserve">Rationale</w:t>
            </w:r>
          </w:p>
        </w:tc>
      </w:tr>
      <w:tr>
        <w:tc>
          <w:tcPr>
            <w:tcW w:type="dxa" w:w="1700"/>
            <w:tcMar>
              <w:top w:type="dxa" w:w="80"/>
              <w:left w:type="dxa" w:w="110"/>
              <w:bottom w:type="dxa" w:w="80"/>
              <w:right w:type="dxa" w:w="110"/>
            </w:tcMar>
          </w:tcPr>
          <w:p>
            <w:pPr>
              <w:spacing w:after="0" w:line="270"/>
            </w:pPr>
            <w:r>
              <w:rPr>
                <w:sz w:val="19"/>
                <w:szCs w:val="19"/>
              </w:rPr>
              <w:t xml:space="preserve">Algorithm</w:t>
            </w:r>
          </w:p>
        </w:tc>
        <w:tc>
          <w:tcPr>
            <w:tcW w:type="dxa" w:w="3660"/>
            <w:tcMar>
              <w:top w:type="dxa" w:w="80"/>
              <w:left w:type="dxa" w:w="110"/>
              <w:bottom w:type="dxa" w:w="80"/>
              <w:right w:type="dxa" w:w="110"/>
            </w:tcMar>
          </w:tcPr>
          <w:p>
            <w:pPr>
              <w:spacing w:after="0" w:line="270"/>
            </w:pPr>
            <w:r>
              <w:rPr>
                <w:sz w:val="19"/>
                <w:szCs w:val="19"/>
              </w:rPr>
              <w:t xml:space="preserve">RandomForestClassifier, 250 trees, min_samples_leaf = 3</w:t>
            </w:r>
          </w:p>
        </w:tc>
        <w:tc>
          <w:tcPr>
            <w:tcW w:type="dxa" w:w="4000"/>
            <w:tcMar>
              <w:top w:type="dxa" w:w="80"/>
              <w:left w:type="dxa" w:w="110"/>
              <w:bottom w:type="dxa" w:w="80"/>
              <w:right w:type="dxa" w:w="110"/>
            </w:tcMar>
          </w:tcPr>
          <w:p>
            <w:pPr>
              <w:spacing w:after="0" w:line="270"/>
            </w:pPr>
            <w:r>
              <w:rPr>
                <w:sz w:val="19"/>
                <w:szCs w:val="19"/>
              </w:rPr>
              <w:t xml:space="preserve">Stable, non-linear, interpretable at the variable level</w:t>
            </w:r>
          </w:p>
        </w:tc>
      </w:tr>
      <w:tr>
        <w:tc>
          <w:tcPr>
            <w:tcW w:type="dxa" w:w="1700"/>
            <w:shd w:fill="F6F8FB" w:color="auto" w:val="clear"/>
            <w:tcMar>
              <w:top w:type="dxa" w:w="80"/>
              <w:left w:type="dxa" w:w="110"/>
              <w:bottom w:type="dxa" w:w="80"/>
              <w:right w:type="dxa" w:w="110"/>
            </w:tcMar>
          </w:tcPr>
          <w:p>
            <w:pPr>
              <w:spacing w:after="0" w:line="270"/>
            </w:pPr>
            <w:r>
              <w:rPr>
                <w:sz w:val="19"/>
                <w:szCs w:val="19"/>
              </w:rPr>
              <w:t xml:space="preserve">Class handling</w:t>
            </w:r>
          </w:p>
        </w:tc>
        <w:tc>
          <w:tcPr>
            <w:tcW w:type="dxa" w:w="3660"/>
            <w:shd w:fill="F6F8FB" w:color="auto" w:val="clear"/>
            <w:tcMar>
              <w:top w:type="dxa" w:w="80"/>
              <w:left w:type="dxa" w:w="110"/>
              <w:bottom w:type="dxa" w:w="80"/>
              <w:right w:type="dxa" w:w="110"/>
            </w:tcMar>
          </w:tcPr>
          <w:p>
            <w:pPr>
              <w:spacing w:after="0" w:line="270"/>
            </w:pPr>
            <w:r>
              <w:rPr>
                <w:sz w:val="19"/>
                <w:szCs w:val="19"/>
              </w:rPr>
              <w:t xml:space="preserve">class_weight = balanced_subsample</w:t>
            </w:r>
          </w:p>
        </w:tc>
        <w:tc>
          <w:tcPr>
            <w:tcW w:type="dxa" w:w="4000"/>
            <w:shd w:fill="F6F8FB" w:color="auto" w:val="clear"/>
            <w:tcMar>
              <w:top w:type="dxa" w:w="80"/>
              <w:left w:type="dxa" w:w="110"/>
              <w:bottom w:type="dxa" w:w="80"/>
              <w:right w:type="dxa" w:w="110"/>
            </w:tcMar>
          </w:tcPr>
          <w:p>
            <w:pPr>
              <w:spacing w:after="0" w:line="270"/>
            </w:pPr>
            <w:r>
              <w:rPr>
                <w:sz w:val="19"/>
                <w:szCs w:val="19"/>
              </w:rPr>
              <w:t xml:space="preserve">Cancellations are the minority class; recall matters more than raw accuracy</w:t>
            </w:r>
          </w:p>
        </w:tc>
      </w:tr>
      <w:tr>
        <w:tc>
          <w:tcPr>
            <w:tcW w:type="dxa" w:w="1700"/>
            <w:tcMar>
              <w:top w:type="dxa" w:w="80"/>
              <w:left w:type="dxa" w:w="110"/>
              <w:bottom w:type="dxa" w:w="80"/>
              <w:right w:type="dxa" w:w="110"/>
            </w:tcMar>
          </w:tcPr>
          <w:p>
            <w:pPr>
              <w:spacing w:after="0" w:line="270"/>
            </w:pPr>
            <w:r>
              <w:rPr>
                <w:sz w:val="19"/>
                <w:szCs w:val="19"/>
              </w:rPr>
              <w:t xml:space="preserve">Preprocessing</w:t>
            </w:r>
          </w:p>
        </w:tc>
        <w:tc>
          <w:tcPr>
            <w:tcW w:type="dxa" w:w="3660"/>
            <w:tcMar>
              <w:top w:type="dxa" w:w="80"/>
              <w:left w:type="dxa" w:w="110"/>
              <w:bottom w:type="dxa" w:w="80"/>
              <w:right w:type="dxa" w:w="110"/>
            </w:tcMar>
          </w:tcPr>
          <w:p>
            <w:pPr>
              <w:spacing w:after="0" w:line="270"/>
            </w:pPr>
            <w:r>
              <w:rPr>
                <w:sz w:val="19"/>
                <w:szCs w:val="19"/>
              </w:rPr>
              <w:t xml:space="preserve">ColumnTransformer: median imputation (13 numeric), most-frequent imputation + one-hot (8 categorical)</w:t>
            </w:r>
          </w:p>
        </w:tc>
        <w:tc>
          <w:tcPr>
            <w:tcW w:type="dxa" w:w="4000"/>
            <w:tcMar>
              <w:top w:type="dxa" w:w="80"/>
              <w:left w:type="dxa" w:w="110"/>
              <w:bottom w:type="dxa" w:w="80"/>
              <w:right w:type="dxa" w:w="110"/>
            </w:tcMar>
          </w:tcPr>
          <w:p>
            <w:pPr>
              <w:spacing w:after="0" w:line="270"/>
            </w:pPr>
            <w:r>
              <w:rPr>
                <w:sz w:val="19"/>
                <w:szCs w:val="19"/>
              </w:rPr>
              <w:t xml:space="preserve">One reproducible object, no train/test skew</w:t>
            </w:r>
          </w:p>
        </w:tc>
      </w:tr>
      <w:tr>
        <w:tc>
          <w:tcPr>
            <w:tcW w:type="dxa" w:w="1700"/>
            <w:shd w:fill="F6F8FB" w:color="auto" w:val="clear"/>
            <w:tcMar>
              <w:top w:type="dxa" w:w="80"/>
              <w:left w:type="dxa" w:w="110"/>
              <w:bottom w:type="dxa" w:w="80"/>
              <w:right w:type="dxa" w:w="110"/>
            </w:tcMar>
          </w:tcPr>
          <w:p>
            <w:pPr>
              <w:spacing w:after="0" w:line="270"/>
            </w:pPr>
            <w:r>
              <w:rPr>
                <w:sz w:val="19"/>
                <w:szCs w:val="19"/>
              </w:rPr>
              <w:t xml:space="preserve">Validation</w:t>
            </w:r>
          </w:p>
        </w:tc>
        <w:tc>
          <w:tcPr>
            <w:tcW w:type="dxa" w:w="3660"/>
            <w:shd w:fill="F6F8FB" w:color="auto" w:val="clear"/>
            <w:tcMar>
              <w:top w:type="dxa" w:w="80"/>
              <w:left w:type="dxa" w:w="110"/>
              <w:bottom w:type="dxa" w:w="80"/>
              <w:right w:type="dxa" w:w="110"/>
            </w:tcMar>
          </w:tcPr>
          <w:p>
            <w:pPr>
              <w:spacing w:after="0" w:line="270"/>
            </w:pPr>
            <w:r>
              <w:rPr>
                <w:sz w:val="19"/>
                <w:szCs w:val="19"/>
              </w:rPr>
              <w:t xml:space="preserve">Stratified 80/20 hold-out split, fixed random state</w:t>
            </w:r>
          </w:p>
        </w:tc>
        <w:tc>
          <w:tcPr>
            <w:tcW w:type="dxa" w:w="4000"/>
            <w:shd w:fill="F6F8FB" w:color="auto" w:val="clear"/>
            <w:tcMar>
              <w:top w:type="dxa" w:w="80"/>
              <w:left w:type="dxa" w:w="110"/>
              <w:bottom w:type="dxa" w:w="80"/>
              <w:right w:type="dxa" w:w="110"/>
            </w:tcMar>
          </w:tcPr>
          <w:p>
            <w:pPr>
              <w:spacing w:after="0" w:line="270"/>
            </w:pPr>
            <w:r>
              <w:rPr>
                <w:sz w:val="19"/>
                <w:szCs w:val="19"/>
              </w:rPr>
              <w:t xml:space="preserve">Preserves class balance, fully reproducible</w:t>
            </w:r>
          </w:p>
        </w:tc>
      </w:tr>
      <w:tr>
        <w:tc>
          <w:tcPr>
            <w:tcW w:type="dxa" w:w="1700"/>
            <w:tcMar>
              <w:top w:type="dxa" w:w="80"/>
              <w:left w:type="dxa" w:w="110"/>
              <w:bottom w:type="dxa" w:w="80"/>
              <w:right w:type="dxa" w:w="110"/>
            </w:tcMar>
          </w:tcPr>
          <w:p>
            <w:pPr>
              <w:spacing w:after="0" w:line="270"/>
            </w:pPr>
            <w:r>
              <w:rPr>
                <w:sz w:val="19"/>
                <w:szCs w:val="19"/>
              </w:rPr>
              <w:t xml:space="preserve">Metrics</w:t>
            </w:r>
          </w:p>
        </w:tc>
        <w:tc>
          <w:tcPr>
            <w:tcW w:type="dxa" w:w="3660"/>
            <w:tcMar>
              <w:top w:type="dxa" w:w="80"/>
              <w:left w:type="dxa" w:w="110"/>
              <w:bottom w:type="dxa" w:w="80"/>
              <w:right w:type="dxa" w:w="110"/>
            </w:tcMar>
          </w:tcPr>
          <w:p>
            <w:pPr>
              <w:spacing w:after="0" w:line="270"/>
            </w:pPr>
            <w:r>
              <w:rPr>
                <w:sz w:val="19"/>
                <w:szCs w:val="19"/>
              </w:rPr>
              <w:t xml:space="preserve">ROC-AUC, precision, recall, F1, accuracy, confusion matrix</w:t>
            </w:r>
          </w:p>
        </w:tc>
        <w:tc>
          <w:tcPr>
            <w:tcW w:type="dxa" w:w="4000"/>
            <w:tcMar>
              <w:top w:type="dxa" w:w="80"/>
              <w:left w:type="dxa" w:w="110"/>
              <w:bottom w:type="dxa" w:w="80"/>
              <w:right w:type="dxa" w:w="110"/>
            </w:tcMar>
          </w:tcPr>
          <w:p>
            <w:pPr>
              <w:spacing w:after="0" w:line="270"/>
            </w:pPr>
            <w:r>
              <w:rPr>
                <w:sz w:val="19"/>
                <w:szCs w:val="19"/>
              </w:rPr>
              <w:t xml:space="preserve">Accuracy alone is misleading on imbalanced targets</w:t>
            </w:r>
          </w:p>
        </w:tc>
      </w:tr>
      <w:tr>
        <w:tc>
          <w:tcPr>
            <w:tcW w:type="dxa" w:w="1700"/>
            <w:shd w:fill="F6F8FB" w:color="auto" w:val="clear"/>
            <w:tcMar>
              <w:top w:type="dxa" w:w="80"/>
              <w:left w:type="dxa" w:w="110"/>
              <w:bottom w:type="dxa" w:w="80"/>
              <w:right w:type="dxa" w:w="110"/>
            </w:tcMar>
          </w:tcPr>
          <w:p>
            <w:pPr>
              <w:spacing w:after="0" w:line="270"/>
            </w:pPr>
            <w:r>
              <w:rPr>
                <w:sz w:val="19"/>
                <w:szCs w:val="19"/>
              </w:rPr>
              <w:t xml:space="preserve">Leakage control</w:t>
            </w:r>
          </w:p>
        </w:tc>
        <w:tc>
          <w:tcPr>
            <w:tcW w:type="dxa" w:w="3660"/>
            <w:shd w:fill="F6F8FB" w:color="auto" w:val="clear"/>
            <w:tcMar>
              <w:top w:type="dxa" w:w="80"/>
              <w:left w:type="dxa" w:w="110"/>
              <w:bottom w:type="dxa" w:w="80"/>
              <w:right w:type="dxa" w:w="110"/>
            </w:tcMar>
          </w:tcPr>
          <w:p>
            <w:pPr>
              <w:spacing w:after="0" w:line="270"/>
            </w:pPr>
            <w:r>
              <w:rPr>
                <w:sz w:val="19"/>
                <w:szCs w:val="19"/>
              </w:rPr>
              <w:t xml:space="preserve">reservation_status and reservation_status_date dropped</w:t>
            </w:r>
          </w:p>
        </w:tc>
        <w:tc>
          <w:tcPr>
            <w:tcW w:type="dxa" w:w="4000"/>
            <w:shd w:fill="F6F8FB" w:color="auto" w:val="clear"/>
            <w:tcMar>
              <w:top w:type="dxa" w:w="80"/>
              <w:left w:type="dxa" w:w="110"/>
              <w:bottom w:type="dxa" w:w="80"/>
              <w:right w:type="dxa" w:w="110"/>
            </w:tcMar>
          </w:tcPr>
          <w:p>
            <w:pPr>
              <w:spacing w:after="0" w:line="270"/>
            </w:pPr>
            <w:r>
              <w:rPr>
                <w:sz w:val="19"/>
                <w:szCs w:val="19"/>
              </w:rPr>
              <w:t xml:space="preserve">Those fields encode the outcome; the model must only see booking-time information</w:t>
            </w:r>
          </w:p>
        </w:tc>
      </w:tr>
      <w:tr>
        <w:tc>
          <w:tcPr>
            <w:tcW w:type="dxa" w:w="1700"/>
            <w:tcMar>
              <w:top w:type="dxa" w:w="80"/>
              <w:left w:type="dxa" w:w="110"/>
              <w:bottom w:type="dxa" w:w="80"/>
              <w:right w:type="dxa" w:w="110"/>
            </w:tcMar>
          </w:tcPr>
          <w:p>
            <w:pPr>
              <w:spacing w:after="0" w:line="270"/>
            </w:pPr>
            <w:r>
              <w:rPr>
                <w:sz w:val="19"/>
                <w:szCs w:val="19"/>
              </w:rPr>
              <w:t xml:space="preserve">Explainability</w:t>
            </w:r>
          </w:p>
        </w:tc>
        <w:tc>
          <w:tcPr>
            <w:tcW w:type="dxa" w:w="3660"/>
            <w:tcMar>
              <w:top w:type="dxa" w:w="80"/>
              <w:left w:type="dxa" w:w="110"/>
              <w:bottom w:type="dxa" w:w="80"/>
              <w:right w:type="dxa" w:w="110"/>
            </w:tcMar>
          </w:tcPr>
          <w:p>
            <w:pPr>
              <w:spacing w:after="0" w:line="270"/>
            </w:pPr>
            <w:r>
              <w:rPr>
                <w:sz w:val="19"/>
                <w:szCs w:val="19"/>
              </w:rPr>
              <w:t xml:space="preserve">One-hot importances summed back to the source variable and relabelled</w:t>
            </w:r>
          </w:p>
        </w:tc>
        <w:tc>
          <w:tcPr>
            <w:tcW w:type="dxa" w:w="4000"/>
            <w:tcMar>
              <w:top w:type="dxa" w:w="80"/>
              <w:left w:type="dxa" w:w="110"/>
              <w:bottom w:type="dxa" w:w="80"/>
              <w:right w:type="dxa" w:w="110"/>
            </w:tcMar>
          </w:tcPr>
          <w:p>
            <w:pPr>
              <w:spacing w:after="0" w:line="270"/>
            </w:pPr>
            <w:r>
              <w:rPr>
                <w:sz w:val="19"/>
                <w:szCs w:val="19"/>
              </w:rPr>
              <w:t xml:space="preserve">Produces "deposit policy" rather than cat__deposit_type_Non Refund</w:t>
            </w:r>
          </w:p>
        </w:tc>
      </w:tr>
    </w:tbl>
    <w:p>
      <w:pPr>
        <w:spacing w:after="140" w:line="300"/>
      </w:pPr>
      <w:r>
        <w:rPr>
          <w:sz w:val="21"/>
          <w:szCs w:val="21"/>
        </w:rPr>
        <w:t xml:space="preserve"/>
      </w:r>
    </w:p>
    <w:p>
      <w:pPr>
        <w:spacing w:after="140" w:line="300"/>
      </w:pPr>
      <w:r>
        <w:rPr>
          <w:sz w:val="21"/>
          <w:szCs w:val="21"/>
        </w:rPr>
        <w:t xml:space="preserve">Leakage control deserves emphasis. It would be trivial to score above 0.99 AUC on this dataset by leaving reservation_status in the feature set, because that column states the outcome. Removing it is the difference between a model that looks impressive and a model that is usable at the moment a booking arrives.</w:t>
      </w:r>
    </w:p>
    <w:p>
      <w:r>
        <w:br w:type="page"/>
      </w:r>
    </w:p>
    <w:p>
      <w:pPr>
        <w:pStyle w:val="Heading1"/>
        <w:spacing w:after="140" w:before="300"/>
      </w:pPr>
      <w:r>
        <w:rPr>
          <w:color w:val="0B2545"/>
        </w:rPr>
        <w:t xml:space="preserve">5. System architecture</w:t>
      </w:r>
    </w:p>
    <w:p>
      <w:pPr>
        <w:spacing w:after="140" w:line="300"/>
      </w:pPr>
      <w:r>
        <w:rPr>
          <w:sz w:val="21"/>
          <w:szCs w:val="21"/>
        </w:rPr>
        <w:t xml:space="preserve">The entire system - data pipeline, machine learning layer, insight engine and user interface - is contained in a single Python file, app.py, as required by the submission guidelines. Streamlit serves both the backend and the front-end from one process, so there is no separate API server to deploy or configure.</w:t>
      </w:r>
    </w:p>
    <w:p>
      <w:pPr>
        <w:shd w:fill="F6F8FB" w:color="auto" w:val="clear"/>
        <w:spacing w:after="220"/>
      </w:pPr>
      <w:r>
        <w:rPr>
          <w:rFonts w:ascii="Consolas" w:cs="Consolas" w:eastAsia="Consolas" w:hAnsi="Consolas"/>
          <w:sz w:val="17"/>
          <w:szCs w:val="17"/>
        </w:rPr>
        <w:t xml:space="preserve">hotel_bookings.csv  /  built-in simulator</w:t>
      </w:r>
      <w:r>
        <w:rPr>
          <w:rFonts w:ascii="Consolas" w:cs="Consolas" w:eastAsia="Consolas" w:hAnsi="Consolas"/>
          <w:sz w:val="17"/>
          <w:szCs w:val="17"/>
        </w:rPr>
        <w:br/>
        <w:t xml:space="preserve">            |</w:t>
      </w:r>
      <w:r>
        <w:rPr>
          <w:rFonts w:ascii="Consolas" w:cs="Consolas" w:eastAsia="Consolas" w:hAnsi="Consolas"/>
          <w:sz w:val="17"/>
          <w:szCs w:val="17"/>
        </w:rPr>
        <w:br/>
        <w:t xml:space="preserve">    [1] INGEST  -&gt;  pandas</w:t>
      </w:r>
      <w:r>
        <w:rPr>
          <w:rFonts w:ascii="Consolas" w:cs="Consolas" w:eastAsia="Consolas" w:hAnsi="Consolas"/>
          <w:sz w:val="17"/>
          <w:szCs w:val="17"/>
        </w:rPr>
        <w:br/>
        <w:t xml:space="preserve">    [2] CLEAN   -&gt;  de-duplicate, impute, drop leakage columns</w:t>
      </w:r>
      <w:r>
        <w:rPr>
          <w:rFonts w:ascii="Consolas" w:cs="Consolas" w:eastAsia="Consolas" w:hAnsi="Consolas"/>
          <w:sz w:val="17"/>
          <w:szCs w:val="17"/>
        </w:rPr>
        <w:br/>
        <w:t xml:space="preserve">    [3] ENGINEER-&gt;  booking value, realised / lost revenue, buckets, flags</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    |                  |                  |</w:t>
      </w:r>
      <w:r>
        <w:rPr>
          <w:rFonts w:ascii="Consolas" w:cs="Consolas" w:eastAsia="Consolas" w:hAnsi="Consolas"/>
          <w:sz w:val="17"/>
          <w:szCs w:val="17"/>
        </w:rPr>
        <w:br/>
        <w:t xml:space="preserve"> [4] KPI LAYER   [5] SEGMENT LAYER   [6] ML LAYER</w:t>
      </w:r>
      <w:r>
        <w:rPr>
          <w:rFonts w:ascii="Consolas" w:cs="Consolas" w:eastAsia="Consolas" w:hAnsi="Consolas"/>
          <w:sz w:val="17"/>
          <w:szCs w:val="17"/>
        </w:rPr>
        <w:br/>
        <w:t xml:space="preserve"> descriptive     value vs risk       RandomForest pipeline</w:t>
      </w:r>
      <w:r>
        <w:rPr>
          <w:rFonts w:ascii="Consolas" w:cs="Consolas" w:eastAsia="Consolas" w:hAnsi="Consolas"/>
          <w:sz w:val="17"/>
          <w:szCs w:val="17"/>
        </w:rPr>
        <w:br/>
        <w:t xml:space="preserve">    |                  |                  |</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    [7] INSIGHT ENGINE  -&gt;  fact / insight / action + EUR value</w:t>
      </w:r>
      <w:r>
        <w:rPr>
          <w:rFonts w:ascii="Consolas" w:cs="Consolas" w:eastAsia="Consolas" w:hAnsi="Consolas"/>
          <w:sz w:val="17"/>
          <w:szCs w:val="17"/>
        </w:rPr>
        <w:br/>
        <w:t xml:space="preserve">    [8] PRESENTATION    -&gt;  Streamlit UI (5 pages) + optional Gemini memo</w:t>
      </w:r>
    </w:p>
    <w:p>
      <w:pPr>
        <w:pStyle w:val="Heading2"/>
        <w:spacing w:after="140" w:before="300"/>
      </w:pPr>
      <w:r>
        <w:rPr>
          <w:color w:val="1E3A5F"/>
        </w:rPr>
        <w:t xml:space="preserve">5.1 Technology stack</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800"/>
        <w:gridCol w:w="3060"/>
        <w:gridCol w:w="4500"/>
      </w:tblGrid>
      <w:tr>
        <w:trPr>
          <w:tblHeader/>
        </w:trPr>
        <w:tc>
          <w:tcPr>
            <w:tcW w:type="dxa" w:w="1800"/>
            <w:shd w:fill="0B2545" w:color="auto" w:val="clear"/>
            <w:tcMar>
              <w:top w:type="dxa" w:w="80"/>
              <w:left w:type="dxa" w:w="110"/>
              <w:bottom w:type="dxa" w:w="80"/>
              <w:right w:type="dxa" w:w="110"/>
            </w:tcMar>
          </w:tcPr>
          <w:p>
            <w:pPr>
              <w:spacing w:after="0" w:line="270"/>
            </w:pPr>
            <w:r>
              <w:rPr>
                <w:b/>
                <w:bCs/>
                <w:color w:val="FFFFFF"/>
                <w:sz w:val="19"/>
                <w:szCs w:val="19"/>
              </w:rPr>
              <w:t xml:space="preserve">Layer</w:t>
            </w:r>
          </w:p>
        </w:tc>
        <w:tc>
          <w:tcPr>
            <w:tcW w:type="dxa" w:w="3060"/>
            <w:shd w:fill="0B2545" w:color="auto" w:val="clear"/>
            <w:tcMar>
              <w:top w:type="dxa" w:w="80"/>
              <w:left w:type="dxa" w:w="110"/>
              <w:bottom w:type="dxa" w:w="80"/>
              <w:right w:type="dxa" w:w="110"/>
            </w:tcMar>
          </w:tcPr>
          <w:p>
            <w:pPr>
              <w:spacing w:after="0" w:line="270"/>
            </w:pPr>
            <w:r>
              <w:rPr>
                <w:b/>
                <w:bCs/>
                <w:color w:val="FFFFFF"/>
                <w:sz w:val="19"/>
                <w:szCs w:val="19"/>
              </w:rPr>
              <w:t xml:space="preserve">Technology</w:t>
            </w:r>
          </w:p>
        </w:tc>
        <w:tc>
          <w:tcPr>
            <w:tcW w:type="dxa" w:w="4500"/>
            <w:shd w:fill="0B2545" w:color="auto" w:val="clear"/>
            <w:tcMar>
              <w:top w:type="dxa" w:w="80"/>
              <w:left w:type="dxa" w:w="110"/>
              <w:bottom w:type="dxa" w:w="80"/>
              <w:right w:type="dxa" w:w="110"/>
            </w:tcMar>
          </w:tcPr>
          <w:p>
            <w:pPr>
              <w:spacing w:after="0" w:line="270"/>
            </w:pPr>
            <w:r>
              <w:rPr>
                <w:b/>
                <w:bCs/>
                <w:color w:val="FFFFFF"/>
                <w:sz w:val="19"/>
                <w:szCs w:val="19"/>
              </w:rPr>
              <w:t xml:space="preserve">Purpose</w:t>
            </w:r>
          </w:p>
        </w:tc>
      </w:tr>
      <w:tr>
        <w:tc>
          <w:tcPr>
            <w:tcW w:type="dxa" w:w="1800"/>
            <w:tcMar>
              <w:top w:type="dxa" w:w="80"/>
              <w:left w:type="dxa" w:w="110"/>
              <w:bottom w:type="dxa" w:w="80"/>
              <w:right w:type="dxa" w:w="110"/>
            </w:tcMar>
          </w:tcPr>
          <w:p>
            <w:pPr>
              <w:spacing w:after="0" w:line="270"/>
            </w:pPr>
            <w:r>
              <w:rPr>
                <w:sz w:val="19"/>
                <w:szCs w:val="19"/>
              </w:rPr>
              <w:t xml:space="preserve">Data processing</w:t>
            </w:r>
          </w:p>
        </w:tc>
        <w:tc>
          <w:tcPr>
            <w:tcW w:type="dxa" w:w="3060"/>
            <w:tcMar>
              <w:top w:type="dxa" w:w="80"/>
              <w:left w:type="dxa" w:w="110"/>
              <w:bottom w:type="dxa" w:w="80"/>
              <w:right w:type="dxa" w:w="110"/>
            </w:tcMar>
          </w:tcPr>
          <w:p>
            <w:pPr>
              <w:spacing w:after="0" w:line="270"/>
            </w:pPr>
            <w:r>
              <w:rPr>
                <w:sz w:val="19"/>
                <w:szCs w:val="19"/>
              </w:rPr>
              <w:t xml:space="preserve">pandas, numpy</w:t>
            </w:r>
          </w:p>
        </w:tc>
        <w:tc>
          <w:tcPr>
            <w:tcW w:type="dxa" w:w="4500"/>
            <w:tcMar>
              <w:top w:type="dxa" w:w="80"/>
              <w:left w:type="dxa" w:w="110"/>
              <w:bottom w:type="dxa" w:w="80"/>
              <w:right w:type="dxa" w:w="110"/>
            </w:tcMar>
          </w:tcPr>
          <w:p>
            <w:pPr>
              <w:spacing w:after="0" w:line="270"/>
            </w:pPr>
            <w:r>
              <w:rPr>
                <w:sz w:val="19"/>
                <w:szCs w:val="19"/>
              </w:rPr>
              <w:t xml:space="preserve">Cleaning, aggregation, feature engineering</w:t>
            </w:r>
          </w:p>
        </w:tc>
      </w:tr>
      <w:tr>
        <w:tc>
          <w:tcPr>
            <w:tcW w:type="dxa" w:w="1800"/>
            <w:shd w:fill="F6F8FB" w:color="auto" w:val="clear"/>
            <w:tcMar>
              <w:top w:type="dxa" w:w="80"/>
              <w:left w:type="dxa" w:w="110"/>
              <w:bottom w:type="dxa" w:w="80"/>
              <w:right w:type="dxa" w:w="110"/>
            </w:tcMar>
          </w:tcPr>
          <w:p>
            <w:pPr>
              <w:spacing w:after="0" w:line="270"/>
            </w:pPr>
            <w:r>
              <w:rPr>
                <w:sz w:val="19"/>
                <w:szCs w:val="19"/>
              </w:rPr>
              <w:t xml:space="preserve">Machine learning</w:t>
            </w:r>
          </w:p>
        </w:tc>
        <w:tc>
          <w:tcPr>
            <w:tcW w:type="dxa" w:w="3060"/>
            <w:shd w:fill="F6F8FB" w:color="auto" w:val="clear"/>
            <w:tcMar>
              <w:top w:type="dxa" w:w="80"/>
              <w:left w:type="dxa" w:w="110"/>
              <w:bottom w:type="dxa" w:w="80"/>
              <w:right w:type="dxa" w:w="110"/>
            </w:tcMar>
          </w:tcPr>
          <w:p>
            <w:pPr>
              <w:spacing w:after="0" w:line="270"/>
            </w:pPr>
            <w:r>
              <w:rPr>
                <w:sz w:val="19"/>
                <w:szCs w:val="19"/>
              </w:rPr>
              <w:t xml:space="preserve">scikit-learn</w:t>
            </w:r>
          </w:p>
        </w:tc>
        <w:tc>
          <w:tcPr>
            <w:tcW w:type="dxa" w:w="4500"/>
            <w:shd w:fill="F6F8FB" w:color="auto" w:val="clear"/>
            <w:tcMar>
              <w:top w:type="dxa" w:w="80"/>
              <w:left w:type="dxa" w:w="110"/>
              <w:bottom w:type="dxa" w:w="80"/>
              <w:right w:type="dxa" w:w="110"/>
            </w:tcMar>
          </w:tcPr>
          <w:p>
            <w:pPr>
              <w:spacing w:after="0" w:line="270"/>
            </w:pPr>
            <w:r>
              <w:rPr>
                <w:sz w:val="19"/>
                <w:szCs w:val="19"/>
              </w:rPr>
              <w:t xml:space="preserve">Pipeline, ColumnTransformer, Random Forest, evaluation</w:t>
            </w:r>
          </w:p>
        </w:tc>
      </w:tr>
      <w:tr>
        <w:tc>
          <w:tcPr>
            <w:tcW w:type="dxa" w:w="1800"/>
            <w:tcMar>
              <w:top w:type="dxa" w:w="80"/>
              <w:left w:type="dxa" w:w="110"/>
              <w:bottom w:type="dxa" w:w="80"/>
              <w:right w:type="dxa" w:w="110"/>
            </w:tcMar>
          </w:tcPr>
          <w:p>
            <w:pPr>
              <w:spacing w:after="0" w:line="270"/>
            </w:pPr>
            <w:r>
              <w:rPr>
                <w:sz w:val="19"/>
                <w:szCs w:val="19"/>
              </w:rPr>
              <w:t xml:space="preserve">Visualisation</w:t>
            </w:r>
          </w:p>
        </w:tc>
        <w:tc>
          <w:tcPr>
            <w:tcW w:type="dxa" w:w="3060"/>
            <w:tcMar>
              <w:top w:type="dxa" w:w="80"/>
              <w:left w:type="dxa" w:w="110"/>
              <w:bottom w:type="dxa" w:w="80"/>
              <w:right w:type="dxa" w:w="110"/>
            </w:tcMar>
          </w:tcPr>
          <w:p>
            <w:pPr>
              <w:spacing w:after="0" w:line="270"/>
            </w:pPr>
            <w:r>
              <w:rPr>
                <w:sz w:val="19"/>
                <w:szCs w:val="19"/>
              </w:rPr>
              <w:t xml:space="preserve">Plotly Express / Graph Objects</w:t>
            </w:r>
          </w:p>
        </w:tc>
        <w:tc>
          <w:tcPr>
            <w:tcW w:type="dxa" w:w="4500"/>
            <w:tcMar>
              <w:top w:type="dxa" w:w="80"/>
              <w:left w:type="dxa" w:w="110"/>
              <w:bottom w:type="dxa" w:w="80"/>
              <w:right w:type="dxa" w:w="110"/>
            </w:tcMar>
          </w:tcPr>
          <w:p>
            <w:pPr>
              <w:spacing w:after="0" w:line="270"/>
            </w:pPr>
            <w:r>
              <w:rPr>
                <w:sz w:val="19"/>
                <w:szCs w:val="19"/>
              </w:rPr>
              <w:t xml:space="preserve">Interactive charts with hover, zoom and export</w:t>
            </w:r>
          </w:p>
        </w:tc>
      </w:tr>
      <w:tr>
        <w:tc>
          <w:tcPr>
            <w:tcW w:type="dxa" w:w="1800"/>
            <w:shd w:fill="F6F8FB" w:color="auto" w:val="clear"/>
            <w:tcMar>
              <w:top w:type="dxa" w:w="80"/>
              <w:left w:type="dxa" w:w="110"/>
              <w:bottom w:type="dxa" w:w="80"/>
              <w:right w:type="dxa" w:w="110"/>
            </w:tcMar>
          </w:tcPr>
          <w:p>
            <w:pPr>
              <w:spacing w:after="0" w:line="270"/>
            </w:pPr>
            <w:r>
              <w:rPr>
                <w:sz w:val="19"/>
                <w:szCs w:val="19"/>
              </w:rPr>
              <w:t xml:space="preserve">Application</w:t>
            </w:r>
          </w:p>
        </w:tc>
        <w:tc>
          <w:tcPr>
            <w:tcW w:type="dxa" w:w="3060"/>
            <w:shd w:fill="F6F8FB" w:color="auto" w:val="clear"/>
            <w:tcMar>
              <w:top w:type="dxa" w:w="80"/>
              <w:left w:type="dxa" w:w="110"/>
              <w:bottom w:type="dxa" w:w="80"/>
              <w:right w:type="dxa" w:w="110"/>
            </w:tcMar>
          </w:tcPr>
          <w:p>
            <w:pPr>
              <w:spacing w:after="0" w:line="270"/>
            </w:pPr>
            <w:r>
              <w:rPr>
                <w:sz w:val="19"/>
                <w:szCs w:val="19"/>
              </w:rPr>
              <w:t xml:space="preserve">Streamlit</w:t>
            </w:r>
          </w:p>
        </w:tc>
        <w:tc>
          <w:tcPr>
            <w:tcW w:type="dxa" w:w="4500"/>
            <w:shd w:fill="F6F8FB" w:color="auto" w:val="clear"/>
            <w:tcMar>
              <w:top w:type="dxa" w:w="80"/>
              <w:left w:type="dxa" w:w="110"/>
              <w:bottom w:type="dxa" w:w="80"/>
              <w:right w:type="dxa" w:w="110"/>
            </w:tcMar>
          </w:tcPr>
          <w:p>
            <w:pPr>
              <w:spacing w:after="0" w:line="270"/>
            </w:pPr>
            <w:r>
              <w:rPr>
                <w:sz w:val="19"/>
                <w:szCs w:val="19"/>
              </w:rPr>
              <w:t xml:space="preserve">Backend and front-end in a single Python process</w:t>
            </w:r>
          </w:p>
        </w:tc>
      </w:tr>
      <w:tr>
        <w:tc>
          <w:tcPr>
            <w:tcW w:type="dxa" w:w="1800"/>
            <w:tcMar>
              <w:top w:type="dxa" w:w="80"/>
              <w:left w:type="dxa" w:w="110"/>
              <w:bottom w:type="dxa" w:w="80"/>
              <w:right w:type="dxa" w:w="110"/>
            </w:tcMar>
          </w:tcPr>
          <w:p>
            <w:pPr>
              <w:spacing w:after="0" w:line="270"/>
            </w:pPr>
            <w:r>
              <w:rPr>
                <w:sz w:val="19"/>
                <w:szCs w:val="19"/>
              </w:rPr>
              <w:t xml:space="preserve">Generative AI</w:t>
            </w:r>
          </w:p>
        </w:tc>
        <w:tc>
          <w:tcPr>
            <w:tcW w:type="dxa" w:w="3060"/>
            <w:tcMar>
              <w:top w:type="dxa" w:w="80"/>
              <w:left w:type="dxa" w:w="110"/>
              <w:bottom w:type="dxa" w:w="80"/>
              <w:right w:type="dxa" w:w="110"/>
            </w:tcMar>
          </w:tcPr>
          <w:p>
            <w:pPr>
              <w:spacing w:after="0" w:line="270"/>
            </w:pPr>
            <w:r>
              <w:rPr>
                <w:sz w:val="19"/>
                <w:szCs w:val="19"/>
              </w:rPr>
              <w:t xml:space="preserve">Google Gemini via REST (optional)</w:t>
            </w:r>
          </w:p>
        </w:tc>
        <w:tc>
          <w:tcPr>
            <w:tcW w:type="dxa" w:w="4500"/>
            <w:tcMar>
              <w:top w:type="dxa" w:w="80"/>
              <w:left w:type="dxa" w:w="110"/>
              <w:bottom w:type="dxa" w:w="80"/>
              <w:right w:type="dxa" w:w="110"/>
            </w:tcMar>
          </w:tcPr>
          <w:p>
            <w:pPr>
              <w:spacing w:after="0" w:line="270"/>
            </w:pPr>
            <w:r>
              <w:rPr>
                <w:sz w:val="19"/>
                <w:szCs w:val="19"/>
              </w:rPr>
              <w:t xml:space="preserve">Restates the deterministic brief as a CEO memo</w:t>
            </w:r>
          </w:p>
        </w:tc>
      </w:tr>
      <w:tr>
        <w:tc>
          <w:tcPr>
            <w:tcW w:type="dxa" w:w="1800"/>
            <w:shd w:fill="F6F8FB" w:color="auto" w:val="clear"/>
            <w:tcMar>
              <w:top w:type="dxa" w:w="80"/>
              <w:left w:type="dxa" w:w="110"/>
              <w:bottom w:type="dxa" w:w="80"/>
              <w:right w:type="dxa" w:w="110"/>
            </w:tcMar>
          </w:tcPr>
          <w:p>
            <w:pPr>
              <w:spacing w:after="0" w:line="270"/>
            </w:pPr>
            <w:r>
              <w:rPr>
                <w:sz w:val="19"/>
                <w:szCs w:val="19"/>
              </w:rPr>
              <w:t xml:space="preserve">Performance</w:t>
            </w:r>
          </w:p>
        </w:tc>
        <w:tc>
          <w:tcPr>
            <w:tcW w:type="dxa" w:w="3060"/>
            <w:shd w:fill="F6F8FB" w:color="auto" w:val="clear"/>
            <w:tcMar>
              <w:top w:type="dxa" w:w="80"/>
              <w:left w:type="dxa" w:w="110"/>
              <w:bottom w:type="dxa" w:w="80"/>
              <w:right w:type="dxa" w:w="110"/>
            </w:tcMar>
          </w:tcPr>
          <w:p>
            <w:pPr>
              <w:spacing w:after="0" w:line="270"/>
            </w:pPr>
            <w:r>
              <w:rPr>
                <w:sz w:val="19"/>
                <w:szCs w:val="19"/>
              </w:rPr>
              <w:t xml:space="preserve">st.cache_data, st.cache_resource</w:t>
            </w:r>
          </w:p>
        </w:tc>
        <w:tc>
          <w:tcPr>
            <w:tcW w:type="dxa" w:w="4500"/>
            <w:shd w:fill="F6F8FB" w:color="auto" w:val="clear"/>
            <w:tcMar>
              <w:top w:type="dxa" w:w="80"/>
              <w:left w:type="dxa" w:w="110"/>
              <w:bottom w:type="dxa" w:w="80"/>
              <w:right w:type="dxa" w:w="110"/>
            </w:tcMar>
          </w:tcPr>
          <w:p>
            <w:pPr>
              <w:spacing w:after="0" w:line="270"/>
            </w:pPr>
            <w:r>
              <w:rPr>
                <w:sz w:val="19"/>
                <w:szCs w:val="19"/>
              </w:rPr>
              <w:t xml:space="preserve">Pipeline and fitted model cached; filters respond instantly</w:t>
            </w:r>
          </w:p>
        </w:tc>
      </w:tr>
    </w:tbl>
    <w:p>
      <w:pPr>
        <w:spacing w:after="140" w:line="300"/>
      </w:pPr>
      <w:r>
        <w:rPr>
          <w:sz w:val="21"/>
          <w:szCs w:val="21"/>
        </w:rPr>
        <w:t xml:space="preserve"/>
      </w:r>
    </w:p>
    <w:p>
      <w:pPr>
        <w:pStyle w:val="Heading2"/>
        <w:spacing w:after="140" w:before="300"/>
      </w:pPr>
      <w:r>
        <w:rPr>
          <w:color w:val="1E3A5F"/>
        </w:rPr>
        <w:t xml:space="preserve">5.2 Design decisions worth noting</w:t>
      </w:r>
    </w:p>
    <w:p>
      <w:pPr>
        <w:pStyle w:val="ListParagraph"/>
        <w:numPr>
          <w:ilvl w:val="0"/>
          <w:numId w:val="2"/>
        </w:numPr>
        <w:spacing w:after="70" w:line="290"/>
      </w:pPr>
      <w:r>
        <w:rPr>
          <w:sz w:val="21"/>
          <w:szCs w:val="21"/>
        </w:rPr>
        <w:t xml:space="preserve">Generative AI is an enhancement, never a dependency. The decision brief is generated deterministically from the data. A Gemini key only changes the prose style. Without internet access the platform still delivers every insight.</w:t>
      </w:r>
    </w:p>
    <w:p>
      <w:pPr>
        <w:pStyle w:val="ListParagraph"/>
        <w:numPr>
          <w:ilvl w:val="0"/>
          <w:numId w:val="2"/>
        </w:numPr>
        <w:spacing w:after="70" w:line="290"/>
      </w:pPr>
      <w:r>
        <w:rPr>
          <w:sz w:val="21"/>
          <w:szCs w:val="21"/>
        </w:rPr>
        <w:t xml:space="preserve">Graceful data fallback. A missing CSV produces a clearly labelled demonstration mode rather than a stack trace.</w:t>
      </w:r>
    </w:p>
    <w:p>
      <w:pPr>
        <w:pStyle w:val="ListParagraph"/>
        <w:numPr>
          <w:ilvl w:val="0"/>
          <w:numId w:val="2"/>
        </w:numPr>
        <w:spacing w:after="70" w:line="290"/>
      </w:pPr>
      <w:r>
        <w:rPr>
          <w:sz w:val="21"/>
          <w:szCs w:val="21"/>
        </w:rPr>
        <w:t xml:space="preserve">Caching by design. The data pipeline is cached on file content and the fitted model on the filtered row signature, so exploring filters does not retrain the model.</w:t>
      </w:r>
    </w:p>
    <w:p>
      <w:pPr>
        <w:pStyle w:val="ListParagraph"/>
        <w:numPr>
          <w:ilvl w:val="0"/>
          <w:numId w:val="2"/>
        </w:numPr>
        <w:spacing w:after="70" w:line="290"/>
      </w:pPr>
      <w:r>
        <w:rPr>
          <w:sz w:val="21"/>
          <w:szCs w:val="21"/>
        </w:rPr>
        <w:t xml:space="preserve">Business language throughout. Feature names, risk bands and monetary values are presented in the vocabulary of a revenue manager, not a data scientist.</w:t>
      </w:r>
    </w:p>
    <w:p>
      <w:r>
        <w:br w:type="page"/>
      </w:r>
    </w:p>
    <w:p>
      <w:pPr>
        <w:pStyle w:val="Heading1"/>
        <w:spacing w:after="140" w:before="300"/>
      </w:pPr>
      <w:r>
        <w:rPr>
          <w:color w:val="0B2545"/>
        </w:rPr>
        <w:t xml:space="preserve">6. The platform in use</w:t>
      </w:r>
    </w:p>
    <w:p>
      <w:pPr>
        <w:spacing w:after="140" w:line="300"/>
      </w:pPr>
      <w:r>
        <w:rPr>
          <w:sz w:val="21"/>
          <w:szCs w:val="21"/>
        </w:rPr>
        <w:t xml:space="preserve">The application is organised as five pages, each answering one question in the business intelligence chain. The figures below were rendered directly from the project pipeline in demonstration mode; live figures will differ once the Kaggle file is loaded.</w:t>
      </w:r>
    </w:p>
    <w:p>
      <w:pPr>
        <w:pStyle w:val="Heading2"/>
        <w:spacing w:after="140" w:before="300"/>
      </w:pPr>
      <w:r>
        <w:rPr>
          <w:color w:val="1E3A5F"/>
        </w:rPr>
        <w:t xml:space="preserve">6.1 Executive overview - what is happening</w:t>
      </w:r>
    </w:p>
    <w:p>
      <w:pPr>
        <w:spacing w:after="140" w:line="300"/>
      </w:pPr>
      <w:r>
        <w:rPr>
          <w:sz w:val="21"/>
          <w:szCs w:val="21"/>
        </w:rPr>
        <w:t xml:space="preserve">The landing page reports eight headline KPIs and immediately separates realised revenue from revenue destroyed by cancellation. The stacked monthly chart is the single most important visual in the platform: the red portion of each bar is the business problem, sized in euros, month by month.</w:t>
      </w:r>
    </w:p>
    <w:p>
      <w:pPr>
        <w:spacing w:after="60" w:before="120"/>
        <w:jc w:val="center"/>
      </w:pPr>
      <w:r>
        <w:drawing>
          <wp:inline distT="0" distB="0" distL="0" distR="0">
            <wp:extent cx="590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24275"/>
                    </a:xfrm>
                    <a:prstGeom prst="rect">
                      <a:avLst/>
                    </a:prstGeom>
                  </pic:spPr>
                </pic:pic>
              </a:graphicData>
            </a:graphic>
          </wp:inline>
        </w:drawing>
      </w:r>
    </w:p>
    <w:p>
      <w:pPr>
        <w:spacing w:after="220"/>
        <w:jc w:val="center"/>
      </w:pPr>
      <w:r>
        <w:rPr>
          <w:i/>
          <w:iCs/>
          <w:color w:val="64748B"/>
          <w:sz w:val="17"/>
          <w:szCs w:val="17"/>
        </w:rPr>
        <w:t xml:space="preserve">Figure 1. Executive overview - KPI header, realised versus destroyed revenue, cancellation trend, and the lead-time risk curve.</w:t>
      </w:r>
    </w:p>
    <w:p>
      <w:pPr>
        <w:pStyle w:val="Heading2"/>
        <w:spacing w:after="140" w:before="300"/>
      </w:pPr>
      <w:r>
        <w:rPr>
          <w:color w:val="1E3A5F"/>
        </w:rPr>
        <w:t xml:space="preserve">6.2 Revenue and segment lab - why it is happening</w:t>
      </w:r>
    </w:p>
    <w:p>
      <w:pPr>
        <w:spacing w:after="140" w:line="300"/>
      </w:pPr>
      <w:r>
        <w:rPr>
          <w:sz w:val="21"/>
          <w:szCs w:val="21"/>
        </w:rPr>
        <w:t xml:space="preserve">The value-versus-risk map plots every segment by revenue contributed against cancellation rate, with bubble size showing booking volume. A large bubble in the upper left is a healthy engine; a large bubble to the right is a channel that is expensive in ways the revenue line alone does not reveal. The same view can be pivoted onto any commercial dimension - distribution channel, deposit type, customer type, country, room type or month.</w:t>
      </w:r>
    </w:p>
    <w:p>
      <w:pPr>
        <w:spacing w:after="60" w:before="120"/>
        <w:jc w:val="center"/>
      </w:pPr>
      <w:r>
        <w:drawing>
          <wp:inline distT="0" distB="0" distL="0" distR="0">
            <wp:extent cx="5905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43200"/>
                    </a:xfrm>
                    <a:prstGeom prst="rect">
                      <a:avLst/>
                    </a:prstGeom>
                  </pic:spPr>
                </pic:pic>
              </a:graphicData>
            </a:graphic>
          </wp:inline>
        </w:drawing>
      </w:r>
    </w:p>
    <w:p>
      <w:pPr>
        <w:spacing w:after="220"/>
        <w:jc w:val="center"/>
      </w:pPr>
      <w:r>
        <w:rPr>
          <w:i/>
          <w:iCs/>
          <w:color w:val="64748B"/>
          <w:sz w:val="17"/>
          <w:szCs w:val="17"/>
        </w:rPr>
        <w:t xml:space="preserve">Figure 2. Segment analysis - value versus risk mapping and the absolute revenue destroyed by each channel.</w:t>
      </w:r>
    </w:p>
    <w:p>
      <w:pPr>
        <w:pStyle w:val="Heading2"/>
        <w:spacing w:after="140" w:before="300"/>
      </w:pPr>
      <w:r>
        <w:rPr>
          <w:color w:val="1E3A5F"/>
        </w:rPr>
        <w:t xml:space="preserve">6.3 Risk engine - what will go wrong</w:t>
      </w:r>
    </w:p>
    <w:p>
      <w:pPr>
        <w:spacing w:after="140" w:line="300"/>
      </w:pPr>
      <w:r>
        <w:rPr>
          <w:sz w:val="21"/>
          <w:szCs w:val="21"/>
        </w:rPr>
        <w:t xml:space="preserve">The machine learning page exposes the model honestly: ROC curve, confusion matrix on the hold-out set, and the driver importances folded back into plain business language. Below these sits the operational payoff - a threshold-adjustable save-desk queue listing the highest-value bookings most likely to cancel, downloadable as CSV so it can be handed to a retention team the same morning.</w:t>
      </w:r>
    </w:p>
    <w:p>
      <w:pPr>
        <w:spacing w:after="60" w:before="120"/>
        <w:jc w:val="center"/>
      </w:pPr>
      <w:r>
        <w:drawing>
          <wp:inline distT="0" distB="0" distL="0" distR="0">
            <wp:extent cx="5905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81375"/>
                    </a:xfrm>
                    <a:prstGeom prst="rect">
                      <a:avLst/>
                    </a:prstGeom>
                  </pic:spPr>
                </pic:pic>
              </a:graphicData>
            </a:graphic>
          </wp:inline>
        </w:drawing>
      </w:r>
    </w:p>
    <w:p>
      <w:pPr>
        <w:spacing w:after="220"/>
        <w:jc w:val="center"/>
      </w:pPr>
      <w:r>
        <w:rPr>
          <w:i/>
          <w:iCs/>
          <w:color w:val="64748B"/>
          <w:sz w:val="17"/>
          <w:szCs w:val="17"/>
        </w:rPr>
        <w:t xml:space="preserve">Figure 3. Risk engine - model performance metrics, ROC curve, confusion matrix and business-readable cancellation drivers.</w:t>
      </w:r>
    </w:p>
    <w:p>
      <w:pPr>
        <w:pStyle w:val="Heading2"/>
        <w:spacing w:after="140" w:before="300"/>
      </w:pPr>
      <w:r>
        <w:rPr>
          <w:color w:val="1E3A5F"/>
        </w:rPr>
        <w:t xml:space="preserve">6.4 Decision brief - what should be done</w:t>
      </w:r>
    </w:p>
    <w:p>
      <w:pPr>
        <w:spacing w:after="140" w:line="300"/>
      </w:pPr>
      <w:r>
        <w:rPr>
          <w:sz w:val="21"/>
          <w:szCs w:val="21"/>
        </w:rPr>
        <w:t xml:space="preserve">The final page is deliberately not a chart page. Each finding is presented as a card carrying a fact, an insight, a recommended action and the euros at stake, sorted by priority. The full register downloads as CSV and the brief downloads as Markdown, so the output of the analysis leaves the tool in a form a management meeting can consume.</w:t>
      </w:r>
    </w:p>
    <w:p>
      <w:pPr>
        <w:spacing w:after="60" w:before="120"/>
        <w:jc w:val="center"/>
      </w:pPr>
      <w:r>
        <w:drawing>
          <wp:inline distT="0" distB="0" distL="0" distR="0">
            <wp:extent cx="5905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57550"/>
                    </a:xfrm>
                    <a:prstGeom prst="rect">
                      <a:avLst/>
                    </a:prstGeom>
                  </pic:spPr>
                </pic:pic>
              </a:graphicData>
            </a:graphic>
          </wp:inline>
        </w:drawing>
      </w:r>
    </w:p>
    <w:p>
      <w:pPr>
        <w:spacing w:after="220"/>
        <w:jc w:val="center"/>
      </w:pPr>
      <w:r>
        <w:rPr>
          <w:i/>
          <w:iCs/>
          <w:color w:val="64748B"/>
          <w:sz w:val="17"/>
          <w:szCs w:val="17"/>
        </w:rPr>
        <w:t xml:space="preserve">Figure 4. Decision brief - risk band validation, value at stake by finding, and the fact / insight / action cards as rendered in the interface.</w:t>
      </w:r>
    </w:p>
    <w:p>
      <w:r>
        <w:br w:type="page"/>
      </w:r>
    </w:p>
    <w:p>
      <w:pPr>
        <w:pStyle w:val="Heading1"/>
        <w:spacing w:after="140" w:before="300"/>
      </w:pPr>
      <w:r>
        <w:rPr>
          <w:color w:val="0B2545"/>
        </w:rPr>
        <w:t xml:space="preserve">7. Results</w:t>
      </w:r>
    </w:p>
    <w:p>
      <w:pPr>
        <w:pStyle w:val="Heading2"/>
        <w:spacing w:after="140" w:before="300"/>
      </w:pPr>
      <w:r>
        <w:rPr>
          <w:color w:val="1E3A5F"/>
        </w:rPr>
        <w:t xml:space="preserve">7.1 Descriptive results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5600"/>
        <w:gridCol w:w="3760"/>
      </w:tblGrid>
      <w:tr>
        <w:trPr>
          <w:tblHeader/>
        </w:trPr>
        <w:tc>
          <w:tcPr>
            <w:tcW w:type="dxa" w:w="5600"/>
            <w:shd w:fill="0B2545" w:color="auto" w:val="clear"/>
            <w:tcMar>
              <w:top w:type="dxa" w:w="80"/>
              <w:left w:type="dxa" w:w="110"/>
              <w:bottom w:type="dxa" w:w="80"/>
              <w:right w:type="dxa" w:w="110"/>
            </w:tcMar>
          </w:tcPr>
          <w:p>
            <w:pPr>
              <w:spacing w:after="0" w:line="270"/>
            </w:pPr>
            <w:r>
              <w:rPr>
                <w:b/>
                <w:bCs/>
                <w:color w:val="FFFFFF"/>
                <w:sz w:val="19"/>
                <w:szCs w:val="19"/>
              </w:rPr>
              <w:t xml:space="preserve">Key performance indicator</w:t>
            </w:r>
          </w:p>
        </w:tc>
        <w:tc>
          <w:tcPr>
            <w:tcW w:type="dxa" w:w="3760"/>
            <w:shd w:fill="0B2545" w:color="auto" w:val="clear"/>
            <w:tcMar>
              <w:top w:type="dxa" w:w="80"/>
              <w:left w:type="dxa" w:w="110"/>
              <w:bottom w:type="dxa" w:w="80"/>
              <w:right w:type="dxa" w:w="110"/>
            </w:tcMar>
          </w:tcPr>
          <w:p>
            <w:pPr>
              <w:spacing w:after="0" w:line="270"/>
            </w:pPr>
            <w:r>
              <w:rPr>
                <w:b/>
                <w:bCs/>
                <w:color w:val="FFFFFF"/>
                <w:sz w:val="19"/>
                <w:szCs w:val="19"/>
              </w:rPr>
              <w:t xml:space="preserve">Value</w:t>
            </w:r>
          </w:p>
        </w:tc>
      </w:tr>
      <w:tr>
        <w:tc>
          <w:tcPr>
            <w:tcW w:type="dxa" w:w="5600"/>
            <w:tcMar>
              <w:top w:type="dxa" w:w="80"/>
              <w:left w:type="dxa" w:w="110"/>
              <w:bottom w:type="dxa" w:w="80"/>
              <w:right w:type="dxa" w:w="110"/>
            </w:tcMar>
          </w:tcPr>
          <w:p>
            <w:pPr>
              <w:spacing w:after="0" w:line="270"/>
            </w:pPr>
            <w:r>
              <w:rPr>
                <w:sz w:val="19"/>
                <w:szCs w:val="19"/>
              </w:rPr>
              <w:t xml:space="preserve">Bookings analysed</w:t>
            </w:r>
          </w:p>
        </w:tc>
        <w:tc>
          <w:tcPr>
            <w:tcW w:type="dxa" w:w="3760"/>
            <w:tcMar>
              <w:top w:type="dxa" w:w="80"/>
              <w:left w:type="dxa" w:w="110"/>
              <w:bottom w:type="dxa" w:w="80"/>
              <w:right w:type="dxa" w:w="110"/>
            </w:tcMar>
          </w:tcPr>
          <w:p>
            <w:pPr>
              <w:spacing w:after="0" w:line="270"/>
            </w:pPr>
            <w:r>
              <w:rPr>
                <w:sz w:val="19"/>
                <w:szCs w:val="19"/>
              </w:rPr>
              <w:t xml:space="preserve">23,220</w:t>
            </w:r>
          </w:p>
        </w:tc>
      </w:tr>
      <w:tr>
        <w:tc>
          <w:tcPr>
            <w:tcW w:type="dxa" w:w="5600"/>
            <w:shd w:fill="F6F8FB" w:color="auto" w:val="clear"/>
            <w:tcMar>
              <w:top w:type="dxa" w:w="80"/>
              <w:left w:type="dxa" w:w="110"/>
              <w:bottom w:type="dxa" w:w="80"/>
              <w:right w:type="dxa" w:w="110"/>
            </w:tcMar>
          </w:tcPr>
          <w:p>
            <w:pPr>
              <w:spacing w:after="0" w:line="270"/>
            </w:pPr>
            <w:r>
              <w:rPr>
                <w:sz w:val="19"/>
                <w:szCs w:val="19"/>
              </w:rPr>
              <w:t xml:space="preserve">Contracted booking value</w:t>
            </w:r>
          </w:p>
        </w:tc>
        <w:tc>
          <w:tcPr>
            <w:tcW w:type="dxa" w:w="3760"/>
            <w:shd w:fill="F6F8FB" w:color="auto" w:val="clear"/>
            <w:tcMar>
              <w:top w:type="dxa" w:w="80"/>
              <w:left w:type="dxa" w:w="110"/>
              <w:bottom w:type="dxa" w:w="80"/>
              <w:right w:type="dxa" w:w="110"/>
            </w:tcMar>
          </w:tcPr>
          <w:p>
            <w:pPr>
              <w:spacing w:after="0" w:line="270"/>
            </w:pPr>
            <w:r>
              <w:rPr>
                <w:sz w:val="19"/>
                <w:szCs w:val="19"/>
              </w:rPr>
              <w:t xml:space="preserve">EUR 9.65M</w:t>
            </w:r>
          </w:p>
        </w:tc>
      </w:tr>
      <w:tr>
        <w:tc>
          <w:tcPr>
            <w:tcW w:type="dxa" w:w="5600"/>
            <w:tcMar>
              <w:top w:type="dxa" w:w="80"/>
              <w:left w:type="dxa" w:w="110"/>
              <w:bottom w:type="dxa" w:w="80"/>
              <w:right w:type="dxa" w:w="110"/>
            </w:tcMar>
          </w:tcPr>
          <w:p>
            <w:pPr>
              <w:spacing w:after="0" w:line="270"/>
            </w:pPr>
            <w:r>
              <w:rPr>
                <w:sz w:val="19"/>
                <w:szCs w:val="19"/>
              </w:rPr>
              <w:t xml:space="preserve">Realised revenue</w:t>
            </w:r>
          </w:p>
        </w:tc>
        <w:tc>
          <w:tcPr>
            <w:tcW w:type="dxa" w:w="3760"/>
            <w:tcMar>
              <w:top w:type="dxa" w:w="80"/>
              <w:left w:type="dxa" w:w="110"/>
              <w:bottom w:type="dxa" w:w="80"/>
              <w:right w:type="dxa" w:w="110"/>
            </w:tcMar>
          </w:tcPr>
          <w:p>
            <w:pPr>
              <w:spacing w:after="0" w:line="270"/>
            </w:pPr>
            <w:r>
              <w:rPr>
                <w:sz w:val="19"/>
                <w:szCs w:val="19"/>
              </w:rPr>
              <w:t xml:space="preserve">EUR 6.41M</w:t>
            </w:r>
          </w:p>
        </w:tc>
      </w:tr>
      <w:tr>
        <w:tc>
          <w:tcPr>
            <w:tcW w:type="dxa" w:w="5600"/>
            <w:shd w:fill="F6F8FB" w:color="auto" w:val="clear"/>
            <w:tcMar>
              <w:top w:type="dxa" w:w="80"/>
              <w:left w:type="dxa" w:w="110"/>
              <w:bottom w:type="dxa" w:w="80"/>
              <w:right w:type="dxa" w:w="110"/>
            </w:tcMar>
          </w:tcPr>
          <w:p>
            <w:pPr>
              <w:spacing w:after="0" w:line="270"/>
            </w:pPr>
            <w:r>
              <w:rPr>
                <w:sz w:val="19"/>
                <w:szCs w:val="19"/>
              </w:rPr>
              <w:t xml:space="preserve">Revenue lost to cancellations</w:t>
            </w:r>
          </w:p>
        </w:tc>
        <w:tc>
          <w:tcPr>
            <w:tcW w:type="dxa" w:w="3760"/>
            <w:shd w:fill="F6F8FB" w:color="auto" w:val="clear"/>
            <w:tcMar>
              <w:top w:type="dxa" w:w="80"/>
              <w:left w:type="dxa" w:w="110"/>
              <w:bottom w:type="dxa" w:w="80"/>
              <w:right w:type="dxa" w:w="110"/>
            </w:tcMar>
          </w:tcPr>
          <w:p>
            <w:pPr>
              <w:spacing w:after="0" w:line="270"/>
            </w:pPr>
            <w:r>
              <w:rPr>
                <w:sz w:val="19"/>
                <w:szCs w:val="19"/>
              </w:rPr>
              <w:t xml:space="preserve">EUR 3.24M</w:t>
            </w:r>
          </w:p>
        </w:tc>
      </w:tr>
      <w:tr>
        <w:tc>
          <w:tcPr>
            <w:tcW w:type="dxa" w:w="5600"/>
            <w:tcMar>
              <w:top w:type="dxa" w:w="80"/>
              <w:left w:type="dxa" w:w="110"/>
              <w:bottom w:type="dxa" w:w="80"/>
              <w:right w:type="dxa" w:w="110"/>
            </w:tcMar>
          </w:tcPr>
          <w:p>
            <w:pPr>
              <w:spacing w:after="0" w:line="270"/>
            </w:pPr>
            <w:r>
              <w:rPr>
                <w:sz w:val="19"/>
                <w:szCs w:val="19"/>
              </w:rPr>
              <w:t xml:space="preserve">Revenue leakage</w:t>
            </w:r>
          </w:p>
        </w:tc>
        <w:tc>
          <w:tcPr>
            <w:tcW w:type="dxa" w:w="3760"/>
            <w:tcMar>
              <w:top w:type="dxa" w:w="80"/>
              <w:left w:type="dxa" w:w="110"/>
              <w:bottom w:type="dxa" w:w="80"/>
              <w:right w:type="dxa" w:w="110"/>
            </w:tcMar>
          </w:tcPr>
          <w:p>
            <w:pPr>
              <w:spacing w:after="0" w:line="270"/>
            </w:pPr>
            <w:r>
              <w:rPr>
                <w:sz w:val="19"/>
                <w:szCs w:val="19"/>
              </w:rPr>
              <w:t xml:space="preserve">33.6%</w:t>
            </w:r>
          </w:p>
        </w:tc>
      </w:tr>
      <w:tr>
        <w:tc>
          <w:tcPr>
            <w:tcW w:type="dxa" w:w="5600"/>
            <w:shd w:fill="F6F8FB" w:color="auto" w:val="clear"/>
            <w:tcMar>
              <w:top w:type="dxa" w:w="80"/>
              <w:left w:type="dxa" w:w="110"/>
              <w:bottom w:type="dxa" w:w="80"/>
              <w:right w:type="dxa" w:w="110"/>
            </w:tcMar>
          </w:tcPr>
          <w:p>
            <w:pPr>
              <w:spacing w:after="0" w:line="270"/>
            </w:pPr>
            <w:r>
              <w:rPr>
                <w:sz w:val="19"/>
                <w:szCs w:val="19"/>
              </w:rPr>
              <w:t xml:space="preserve">Cancellation rate</w:t>
            </w:r>
          </w:p>
        </w:tc>
        <w:tc>
          <w:tcPr>
            <w:tcW w:type="dxa" w:w="3760"/>
            <w:shd w:fill="F6F8FB" w:color="auto" w:val="clear"/>
            <w:tcMar>
              <w:top w:type="dxa" w:w="80"/>
              <w:left w:type="dxa" w:w="110"/>
              <w:bottom w:type="dxa" w:w="80"/>
              <w:right w:type="dxa" w:w="110"/>
            </w:tcMar>
          </w:tcPr>
          <w:p>
            <w:pPr>
              <w:spacing w:after="0" w:line="270"/>
            </w:pPr>
            <w:r>
              <w:rPr>
                <w:sz w:val="19"/>
                <w:szCs w:val="19"/>
              </w:rPr>
              <w:t xml:space="preserve">33.4%</w:t>
            </w:r>
          </w:p>
        </w:tc>
      </w:tr>
      <w:tr>
        <w:tc>
          <w:tcPr>
            <w:tcW w:type="dxa" w:w="5600"/>
            <w:tcMar>
              <w:top w:type="dxa" w:w="80"/>
              <w:left w:type="dxa" w:w="110"/>
              <w:bottom w:type="dxa" w:w="80"/>
              <w:right w:type="dxa" w:w="110"/>
            </w:tcMar>
          </w:tcPr>
          <w:p>
            <w:pPr>
              <w:spacing w:after="0" w:line="270"/>
            </w:pPr>
            <w:r>
              <w:rPr>
                <w:sz w:val="19"/>
                <w:szCs w:val="19"/>
              </w:rPr>
              <w:t xml:space="preserve">Average daily rate</w:t>
            </w:r>
          </w:p>
        </w:tc>
        <w:tc>
          <w:tcPr>
            <w:tcW w:type="dxa" w:w="3760"/>
            <w:tcMar>
              <w:top w:type="dxa" w:w="80"/>
              <w:left w:type="dxa" w:w="110"/>
              <w:bottom w:type="dxa" w:w="80"/>
              <w:right w:type="dxa" w:w="110"/>
            </w:tcMar>
          </w:tcPr>
          <w:p>
            <w:pPr>
              <w:spacing w:after="0" w:line="270"/>
            </w:pPr>
            <w:r>
              <w:rPr>
                <w:sz w:val="19"/>
                <w:szCs w:val="19"/>
              </w:rPr>
              <w:t xml:space="preserve">EUR 116.54</w:t>
            </w:r>
          </w:p>
        </w:tc>
      </w:tr>
      <w:tr>
        <w:tc>
          <w:tcPr>
            <w:tcW w:type="dxa" w:w="5600"/>
            <w:shd w:fill="F6F8FB" w:color="auto" w:val="clear"/>
            <w:tcMar>
              <w:top w:type="dxa" w:w="80"/>
              <w:left w:type="dxa" w:w="110"/>
              <w:bottom w:type="dxa" w:w="80"/>
              <w:right w:type="dxa" w:w="110"/>
            </w:tcMar>
          </w:tcPr>
          <w:p>
            <w:pPr>
              <w:spacing w:after="0" w:line="270"/>
            </w:pPr>
            <w:r>
              <w:rPr>
                <w:sz w:val="19"/>
                <w:szCs w:val="19"/>
              </w:rPr>
              <w:t xml:space="preserve">Average booking value</w:t>
            </w:r>
          </w:p>
        </w:tc>
        <w:tc>
          <w:tcPr>
            <w:tcW w:type="dxa" w:w="3760"/>
            <w:shd w:fill="F6F8FB" w:color="auto" w:val="clear"/>
            <w:tcMar>
              <w:top w:type="dxa" w:w="80"/>
              <w:left w:type="dxa" w:w="110"/>
              <w:bottom w:type="dxa" w:w="80"/>
              <w:right w:type="dxa" w:w="110"/>
            </w:tcMar>
          </w:tcPr>
          <w:p>
            <w:pPr>
              <w:spacing w:after="0" w:line="270"/>
            </w:pPr>
            <w:r>
              <w:rPr>
                <w:sz w:val="19"/>
                <w:szCs w:val="19"/>
              </w:rPr>
              <w:t xml:space="preserve">EUR 415</w:t>
            </w:r>
          </w:p>
        </w:tc>
      </w:tr>
      <w:tr>
        <w:tc>
          <w:tcPr>
            <w:tcW w:type="dxa" w:w="5600"/>
            <w:tcMar>
              <w:top w:type="dxa" w:w="80"/>
              <w:left w:type="dxa" w:w="110"/>
              <w:bottom w:type="dxa" w:w="80"/>
              <w:right w:type="dxa" w:w="110"/>
            </w:tcMar>
          </w:tcPr>
          <w:p>
            <w:pPr>
              <w:spacing w:after="0" w:line="270"/>
            </w:pPr>
            <w:r>
              <w:rPr>
                <w:sz w:val="19"/>
                <w:szCs w:val="19"/>
              </w:rPr>
              <w:t xml:space="preserve">Average lead time</w:t>
            </w:r>
          </w:p>
        </w:tc>
        <w:tc>
          <w:tcPr>
            <w:tcW w:type="dxa" w:w="3760"/>
            <w:tcMar>
              <w:top w:type="dxa" w:w="80"/>
              <w:left w:type="dxa" w:w="110"/>
              <w:bottom w:type="dxa" w:w="80"/>
              <w:right w:type="dxa" w:w="110"/>
            </w:tcMar>
          </w:tcPr>
          <w:p>
            <w:pPr>
              <w:spacing w:after="0" w:line="270"/>
            </w:pPr>
            <w:r>
              <w:rPr>
                <w:sz w:val="19"/>
                <w:szCs w:val="19"/>
              </w:rPr>
              <w:t xml:space="preserve">109 days</w:t>
            </w:r>
          </w:p>
        </w:tc>
      </w:tr>
      <w:tr>
        <w:tc>
          <w:tcPr>
            <w:tcW w:type="dxa" w:w="5600"/>
            <w:shd w:fill="F6F8FB" w:color="auto" w:val="clear"/>
            <w:tcMar>
              <w:top w:type="dxa" w:w="80"/>
              <w:left w:type="dxa" w:w="110"/>
              <w:bottom w:type="dxa" w:w="80"/>
              <w:right w:type="dxa" w:w="110"/>
            </w:tcMar>
          </w:tcPr>
          <w:p>
            <w:pPr>
              <w:spacing w:after="0" w:line="270"/>
            </w:pPr>
            <w:r>
              <w:rPr>
                <w:sz w:val="19"/>
                <w:szCs w:val="19"/>
              </w:rPr>
              <w:t xml:space="preserve">Average length of stay</w:t>
            </w:r>
          </w:p>
        </w:tc>
        <w:tc>
          <w:tcPr>
            <w:tcW w:type="dxa" w:w="3760"/>
            <w:shd w:fill="F6F8FB" w:color="auto" w:val="clear"/>
            <w:tcMar>
              <w:top w:type="dxa" w:w="80"/>
              <w:left w:type="dxa" w:w="110"/>
              <w:bottom w:type="dxa" w:w="80"/>
              <w:right w:type="dxa" w:w="110"/>
            </w:tcMar>
          </w:tcPr>
          <w:p>
            <w:pPr>
              <w:spacing w:after="0" w:line="270"/>
            </w:pPr>
            <w:r>
              <w:rPr>
                <w:sz w:val="19"/>
                <w:szCs w:val="19"/>
              </w:rPr>
              <w:t xml:space="preserve">3.6 nights</w:t>
            </w:r>
          </w:p>
        </w:tc>
      </w:tr>
      <w:tr>
        <w:tc>
          <w:tcPr>
            <w:tcW w:type="dxa" w:w="5600"/>
            <w:tcMar>
              <w:top w:type="dxa" w:w="80"/>
              <w:left w:type="dxa" w:w="110"/>
              <w:bottom w:type="dxa" w:w="80"/>
              <w:right w:type="dxa" w:w="110"/>
            </w:tcMar>
          </w:tcPr>
          <w:p>
            <w:pPr>
              <w:spacing w:after="0" w:line="270"/>
            </w:pPr>
            <w:r>
              <w:rPr>
                <w:sz w:val="19"/>
                <w:szCs w:val="19"/>
              </w:rPr>
              <w:t xml:space="preserve">Repeat guest mix</w:t>
            </w:r>
          </w:p>
        </w:tc>
        <w:tc>
          <w:tcPr>
            <w:tcW w:type="dxa" w:w="3760"/>
            <w:tcMar>
              <w:top w:type="dxa" w:w="80"/>
              <w:left w:type="dxa" w:w="110"/>
              <w:bottom w:type="dxa" w:w="80"/>
              <w:right w:type="dxa" w:w="110"/>
            </w:tcMar>
          </w:tcPr>
          <w:p>
            <w:pPr>
              <w:spacing w:after="0" w:line="270"/>
            </w:pPr>
            <w:r>
              <w:rPr>
                <w:sz w:val="19"/>
                <w:szCs w:val="19"/>
              </w:rPr>
              <w:t xml:space="preserve">3.2%</w:t>
            </w:r>
          </w:p>
        </w:tc>
      </w:tr>
    </w:tbl>
    <w:p>
      <w:pPr>
        <w:spacing w:after="140" w:line="300"/>
      </w:pPr>
      <w:r>
        <w:rPr>
          <w:sz w:val="21"/>
          <w:szCs w:val="21"/>
        </w:rPr>
        <w:t xml:space="preserve"/>
      </w:r>
    </w:p>
    <w:p>
      <w:pPr>
        <w:pStyle w:val="Heading2"/>
        <w:spacing w:after="140" w:before="300"/>
      </w:pPr>
      <w:r>
        <w:rPr>
          <w:color w:val="1E3A5F"/>
        </w:rPr>
        <w:t xml:space="preserve">7.2 Model performance</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500"/>
        <w:gridCol w:w="1300"/>
        <w:gridCol w:w="6560"/>
      </w:tblGrid>
      <w:tr>
        <w:trPr>
          <w:tblHeader/>
        </w:trPr>
        <w:tc>
          <w:tcPr>
            <w:tcW w:type="dxa" w:w="1500"/>
            <w:shd w:fill="0B2545" w:color="auto" w:val="clear"/>
            <w:tcMar>
              <w:top w:type="dxa" w:w="80"/>
              <w:left w:type="dxa" w:w="110"/>
              <w:bottom w:type="dxa" w:w="80"/>
              <w:right w:type="dxa" w:w="110"/>
            </w:tcMar>
          </w:tcPr>
          <w:p>
            <w:pPr>
              <w:spacing w:after="0" w:line="270"/>
            </w:pPr>
            <w:r>
              <w:rPr>
                <w:b/>
                <w:bCs/>
                <w:color w:val="FFFFFF"/>
                <w:sz w:val="19"/>
                <w:szCs w:val="19"/>
              </w:rPr>
              <w:t xml:space="preserve">Metric</w:t>
            </w:r>
          </w:p>
        </w:tc>
        <w:tc>
          <w:tcPr>
            <w:tcW w:type="dxa" w:w="1300"/>
            <w:shd w:fill="0B2545" w:color="auto" w:val="clear"/>
            <w:tcMar>
              <w:top w:type="dxa" w:w="80"/>
              <w:left w:type="dxa" w:w="110"/>
              <w:bottom w:type="dxa" w:w="80"/>
              <w:right w:type="dxa" w:w="110"/>
            </w:tcMar>
          </w:tcPr>
          <w:p>
            <w:pPr>
              <w:spacing w:after="0" w:line="270"/>
            </w:pPr>
            <w:r>
              <w:rPr>
                <w:b/>
                <w:bCs/>
                <w:color w:val="FFFFFF"/>
                <w:sz w:val="19"/>
                <w:szCs w:val="19"/>
              </w:rPr>
              <w:t xml:space="preserve">Score</w:t>
            </w:r>
          </w:p>
        </w:tc>
        <w:tc>
          <w:tcPr>
            <w:tcW w:type="dxa" w:w="6560"/>
            <w:shd w:fill="0B2545" w:color="auto" w:val="clear"/>
            <w:tcMar>
              <w:top w:type="dxa" w:w="80"/>
              <w:left w:type="dxa" w:w="110"/>
              <w:bottom w:type="dxa" w:w="80"/>
              <w:right w:type="dxa" w:w="110"/>
            </w:tcMar>
          </w:tcPr>
          <w:p>
            <w:pPr>
              <w:spacing w:after="0" w:line="270"/>
            </w:pPr>
            <w:r>
              <w:rPr>
                <w:b/>
                <w:bCs/>
                <w:color w:val="FFFFFF"/>
                <w:sz w:val="19"/>
                <w:szCs w:val="19"/>
              </w:rPr>
              <w:t xml:space="preserve">Interpretation</w:t>
            </w:r>
          </w:p>
        </w:tc>
      </w:tr>
      <w:tr>
        <w:tc>
          <w:tcPr>
            <w:tcW w:type="dxa" w:w="1500"/>
            <w:tcMar>
              <w:top w:type="dxa" w:w="80"/>
              <w:left w:type="dxa" w:w="110"/>
              <w:bottom w:type="dxa" w:w="80"/>
              <w:right w:type="dxa" w:w="110"/>
            </w:tcMar>
          </w:tcPr>
          <w:p>
            <w:pPr>
              <w:spacing w:after="0" w:line="270"/>
            </w:pPr>
            <w:r>
              <w:rPr>
                <w:sz w:val="19"/>
                <w:szCs w:val="19"/>
              </w:rPr>
              <w:t xml:space="preserve">ROC-AUC</w:t>
            </w:r>
          </w:p>
        </w:tc>
        <w:tc>
          <w:tcPr>
            <w:tcW w:type="dxa" w:w="1300"/>
            <w:tcMar>
              <w:top w:type="dxa" w:w="80"/>
              <w:left w:type="dxa" w:w="110"/>
              <w:bottom w:type="dxa" w:w="80"/>
              <w:right w:type="dxa" w:w="110"/>
            </w:tcMar>
          </w:tcPr>
          <w:p>
            <w:pPr>
              <w:spacing w:after="0" w:line="270"/>
            </w:pPr>
            <w:r>
              <w:rPr>
                <w:sz w:val="19"/>
                <w:szCs w:val="19"/>
              </w:rPr>
              <w:t xml:space="preserve">0.705</w:t>
            </w:r>
          </w:p>
        </w:tc>
        <w:tc>
          <w:tcPr>
            <w:tcW w:type="dxa" w:w="6560"/>
            <w:tcMar>
              <w:top w:type="dxa" w:w="80"/>
              <w:left w:type="dxa" w:w="110"/>
              <w:bottom w:type="dxa" w:w="80"/>
              <w:right w:type="dxa" w:w="110"/>
            </w:tcMar>
          </w:tcPr>
          <w:p>
            <w:pPr>
              <w:spacing w:after="0" w:line="270"/>
            </w:pPr>
            <w:r>
              <w:rPr>
                <w:sz w:val="19"/>
                <w:szCs w:val="19"/>
              </w:rPr>
              <w:t xml:space="preserve">Probability the model ranks a true cancellation above a true arrival</w:t>
            </w:r>
          </w:p>
        </w:tc>
      </w:tr>
      <w:tr>
        <w:tc>
          <w:tcPr>
            <w:tcW w:type="dxa" w:w="1500"/>
            <w:shd w:fill="F6F8FB" w:color="auto" w:val="clear"/>
            <w:tcMar>
              <w:top w:type="dxa" w:w="80"/>
              <w:left w:type="dxa" w:w="110"/>
              <w:bottom w:type="dxa" w:w="80"/>
              <w:right w:type="dxa" w:w="110"/>
            </w:tcMar>
          </w:tcPr>
          <w:p>
            <w:pPr>
              <w:spacing w:after="0" w:line="270"/>
            </w:pPr>
            <w:r>
              <w:rPr>
                <w:sz w:val="19"/>
                <w:szCs w:val="19"/>
              </w:rPr>
              <w:t xml:space="preserve">Recall</w:t>
            </w:r>
          </w:p>
        </w:tc>
        <w:tc>
          <w:tcPr>
            <w:tcW w:type="dxa" w:w="1300"/>
            <w:shd w:fill="F6F8FB" w:color="auto" w:val="clear"/>
            <w:tcMar>
              <w:top w:type="dxa" w:w="80"/>
              <w:left w:type="dxa" w:w="110"/>
              <w:bottom w:type="dxa" w:w="80"/>
              <w:right w:type="dxa" w:w="110"/>
            </w:tcMar>
          </w:tcPr>
          <w:p>
            <w:pPr>
              <w:spacing w:after="0" w:line="270"/>
            </w:pPr>
            <w:r>
              <w:rPr>
                <w:sz w:val="19"/>
                <w:szCs w:val="19"/>
              </w:rPr>
              <w:t xml:space="preserve">47.2%</w:t>
            </w:r>
          </w:p>
        </w:tc>
        <w:tc>
          <w:tcPr>
            <w:tcW w:type="dxa" w:w="6560"/>
            <w:shd w:fill="F6F8FB" w:color="auto" w:val="clear"/>
            <w:tcMar>
              <w:top w:type="dxa" w:w="80"/>
              <w:left w:type="dxa" w:w="110"/>
              <w:bottom w:type="dxa" w:w="80"/>
              <w:right w:type="dxa" w:w="110"/>
            </w:tcMar>
          </w:tcPr>
          <w:p>
            <w:pPr>
              <w:spacing w:after="0" w:line="270"/>
            </w:pPr>
            <w:r>
              <w:rPr>
                <w:sz w:val="19"/>
                <w:szCs w:val="19"/>
              </w:rPr>
              <w:t xml:space="preserve">Share of actual cancellations the model catches - the metric that governs how much revenue the save-desk can reach</w:t>
            </w:r>
          </w:p>
        </w:tc>
      </w:tr>
      <w:tr>
        <w:tc>
          <w:tcPr>
            <w:tcW w:type="dxa" w:w="1500"/>
            <w:tcMar>
              <w:top w:type="dxa" w:w="80"/>
              <w:left w:type="dxa" w:w="110"/>
              <w:bottom w:type="dxa" w:w="80"/>
              <w:right w:type="dxa" w:w="110"/>
            </w:tcMar>
          </w:tcPr>
          <w:p>
            <w:pPr>
              <w:spacing w:after="0" w:line="270"/>
            </w:pPr>
            <w:r>
              <w:rPr>
                <w:sz w:val="19"/>
                <w:szCs w:val="19"/>
              </w:rPr>
              <w:t xml:space="preserve">Precision</w:t>
            </w:r>
          </w:p>
        </w:tc>
        <w:tc>
          <w:tcPr>
            <w:tcW w:type="dxa" w:w="1300"/>
            <w:tcMar>
              <w:top w:type="dxa" w:w="80"/>
              <w:left w:type="dxa" w:w="110"/>
              <w:bottom w:type="dxa" w:w="80"/>
              <w:right w:type="dxa" w:w="110"/>
            </w:tcMar>
          </w:tcPr>
          <w:p>
            <w:pPr>
              <w:spacing w:after="0" w:line="270"/>
            </w:pPr>
            <w:r>
              <w:rPr>
                <w:sz w:val="19"/>
                <w:szCs w:val="19"/>
              </w:rPr>
              <w:t xml:space="preserve">56.1%</w:t>
            </w:r>
          </w:p>
        </w:tc>
        <w:tc>
          <w:tcPr>
            <w:tcW w:type="dxa" w:w="6560"/>
            <w:tcMar>
              <w:top w:type="dxa" w:w="80"/>
              <w:left w:type="dxa" w:w="110"/>
              <w:bottom w:type="dxa" w:w="80"/>
              <w:right w:type="dxa" w:w="110"/>
            </w:tcMar>
          </w:tcPr>
          <w:p>
            <w:pPr>
              <w:spacing w:after="0" w:line="270"/>
            </w:pPr>
            <w:r>
              <w:rPr>
                <w:sz w:val="19"/>
                <w:szCs w:val="19"/>
              </w:rPr>
              <w:t xml:space="preserve">Share of flagged bookings that really do cancel - governs wasted retention spend</w:t>
            </w:r>
          </w:p>
        </w:tc>
      </w:tr>
      <w:tr>
        <w:tc>
          <w:tcPr>
            <w:tcW w:type="dxa" w:w="1500"/>
            <w:shd w:fill="F6F8FB" w:color="auto" w:val="clear"/>
            <w:tcMar>
              <w:top w:type="dxa" w:w="80"/>
              <w:left w:type="dxa" w:w="110"/>
              <w:bottom w:type="dxa" w:w="80"/>
              <w:right w:type="dxa" w:w="110"/>
            </w:tcMar>
          </w:tcPr>
          <w:p>
            <w:pPr>
              <w:spacing w:after="0" w:line="270"/>
            </w:pPr>
            <w:r>
              <w:rPr>
                <w:sz w:val="19"/>
                <w:szCs w:val="19"/>
              </w:rPr>
              <w:t xml:space="preserve">F1 score</w:t>
            </w:r>
          </w:p>
        </w:tc>
        <w:tc>
          <w:tcPr>
            <w:tcW w:type="dxa" w:w="1300"/>
            <w:shd w:fill="F6F8FB" w:color="auto" w:val="clear"/>
            <w:tcMar>
              <w:top w:type="dxa" w:w="80"/>
              <w:left w:type="dxa" w:w="110"/>
              <w:bottom w:type="dxa" w:w="80"/>
              <w:right w:type="dxa" w:w="110"/>
            </w:tcMar>
          </w:tcPr>
          <w:p>
            <w:pPr>
              <w:spacing w:after="0" w:line="270"/>
            </w:pPr>
            <w:r>
              <w:rPr>
                <w:sz w:val="19"/>
                <w:szCs w:val="19"/>
              </w:rPr>
              <w:t xml:space="preserve">0.512</w:t>
            </w:r>
          </w:p>
        </w:tc>
        <w:tc>
          <w:tcPr>
            <w:tcW w:type="dxa" w:w="6560"/>
            <w:shd w:fill="F6F8FB" w:color="auto" w:val="clear"/>
            <w:tcMar>
              <w:top w:type="dxa" w:w="80"/>
              <w:left w:type="dxa" w:w="110"/>
              <w:bottom w:type="dxa" w:w="80"/>
              <w:right w:type="dxa" w:w="110"/>
            </w:tcMar>
          </w:tcPr>
          <w:p>
            <w:pPr>
              <w:spacing w:after="0" w:line="270"/>
            </w:pPr>
            <w:r>
              <w:rPr>
                <w:sz w:val="19"/>
                <w:szCs w:val="19"/>
              </w:rPr>
              <w:t xml:space="preserve">Balance of the two above</w:t>
            </w:r>
          </w:p>
        </w:tc>
      </w:tr>
      <w:tr>
        <w:tc>
          <w:tcPr>
            <w:tcW w:type="dxa" w:w="1500"/>
            <w:tcMar>
              <w:top w:type="dxa" w:w="80"/>
              <w:left w:type="dxa" w:w="110"/>
              <w:bottom w:type="dxa" w:w="80"/>
              <w:right w:type="dxa" w:w="110"/>
            </w:tcMar>
          </w:tcPr>
          <w:p>
            <w:pPr>
              <w:spacing w:after="0" w:line="270"/>
            </w:pPr>
            <w:r>
              <w:rPr>
                <w:sz w:val="19"/>
                <w:szCs w:val="19"/>
              </w:rPr>
              <w:t xml:space="preserve">Accuracy</w:t>
            </w:r>
          </w:p>
        </w:tc>
        <w:tc>
          <w:tcPr>
            <w:tcW w:type="dxa" w:w="1300"/>
            <w:tcMar>
              <w:top w:type="dxa" w:w="80"/>
              <w:left w:type="dxa" w:w="110"/>
              <w:bottom w:type="dxa" w:w="80"/>
              <w:right w:type="dxa" w:w="110"/>
            </w:tcMar>
          </w:tcPr>
          <w:p>
            <w:pPr>
              <w:spacing w:after="0" w:line="270"/>
            </w:pPr>
            <w:r>
              <w:rPr>
                <w:sz w:val="19"/>
                <w:szCs w:val="19"/>
              </w:rPr>
              <w:t xml:space="preserve">70.0%</w:t>
            </w:r>
          </w:p>
        </w:tc>
        <w:tc>
          <w:tcPr>
            <w:tcW w:type="dxa" w:w="6560"/>
            <w:tcMar>
              <w:top w:type="dxa" w:w="80"/>
              <w:left w:type="dxa" w:w="110"/>
              <w:bottom w:type="dxa" w:w="80"/>
              <w:right w:type="dxa" w:w="110"/>
            </w:tcMar>
          </w:tcPr>
          <w:p>
            <w:pPr>
              <w:spacing w:after="0" w:line="270"/>
            </w:pPr>
            <w:r>
              <w:rPr>
                <w:sz w:val="19"/>
                <w:szCs w:val="19"/>
              </w:rPr>
              <w:t xml:space="preserve">Against a 67% majority-class baseline</w:t>
            </w:r>
          </w:p>
        </w:tc>
      </w:tr>
      <w:tr>
        <w:tc>
          <w:tcPr>
            <w:tcW w:type="dxa" w:w="1500"/>
            <w:shd w:fill="F6F8FB" w:color="auto" w:val="clear"/>
            <w:tcMar>
              <w:top w:type="dxa" w:w="80"/>
              <w:left w:type="dxa" w:w="110"/>
              <w:bottom w:type="dxa" w:w="80"/>
              <w:right w:type="dxa" w:w="110"/>
            </w:tcMar>
          </w:tcPr>
          <w:p>
            <w:pPr>
              <w:spacing w:after="0" w:line="270"/>
            </w:pPr>
            <w:r>
              <w:rPr>
                <w:sz w:val="19"/>
                <w:szCs w:val="19"/>
              </w:rPr>
              <w:t xml:space="preserve">Training rows</w:t>
            </w:r>
          </w:p>
        </w:tc>
        <w:tc>
          <w:tcPr>
            <w:tcW w:type="dxa" w:w="1300"/>
            <w:shd w:fill="F6F8FB" w:color="auto" w:val="clear"/>
            <w:tcMar>
              <w:top w:type="dxa" w:w="80"/>
              <w:left w:type="dxa" w:w="110"/>
              <w:bottom w:type="dxa" w:w="80"/>
              <w:right w:type="dxa" w:w="110"/>
            </w:tcMar>
          </w:tcPr>
          <w:p>
            <w:pPr>
              <w:spacing w:after="0" w:line="270"/>
            </w:pPr>
            <w:r>
              <w:rPr>
                <w:sz w:val="19"/>
                <w:szCs w:val="19"/>
              </w:rPr>
              <w:t xml:space="preserve">18,576</w:t>
            </w:r>
          </w:p>
        </w:tc>
        <w:tc>
          <w:tcPr>
            <w:tcW w:type="dxa" w:w="6560"/>
            <w:shd w:fill="F6F8FB" w:color="auto" w:val="clear"/>
            <w:tcMar>
              <w:top w:type="dxa" w:w="80"/>
              <w:left w:type="dxa" w:w="110"/>
              <w:bottom w:type="dxa" w:w="80"/>
              <w:right w:type="dxa" w:w="110"/>
            </w:tcMar>
          </w:tcPr>
          <w:p>
            <w:pPr>
              <w:spacing w:after="0" w:line="270"/>
            </w:pPr>
            <w:r>
              <w:rPr>
                <w:sz w:val="19"/>
                <w:szCs w:val="19"/>
              </w:rPr>
              <w:t xml:space="preserve">Stratified 80 percent split</w:t>
            </w:r>
          </w:p>
        </w:tc>
      </w:tr>
      <w:tr>
        <w:tc>
          <w:tcPr>
            <w:tcW w:type="dxa" w:w="1500"/>
            <w:tcMar>
              <w:top w:type="dxa" w:w="80"/>
              <w:left w:type="dxa" w:w="110"/>
              <w:bottom w:type="dxa" w:w="80"/>
              <w:right w:type="dxa" w:w="110"/>
            </w:tcMar>
          </w:tcPr>
          <w:p>
            <w:pPr>
              <w:spacing w:after="0" w:line="270"/>
            </w:pPr>
            <w:r>
              <w:rPr>
                <w:sz w:val="19"/>
                <w:szCs w:val="19"/>
              </w:rPr>
              <w:t xml:space="preserve">Hold-out rows</w:t>
            </w:r>
          </w:p>
        </w:tc>
        <w:tc>
          <w:tcPr>
            <w:tcW w:type="dxa" w:w="1300"/>
            <w:tcMar>
              <w:top w:type="dxa" w:w="80"/>
              <w:left w:type="dxa" w:w="110"/>
              <w:bottom w:type="dxa" w:w="80"/>
              <w:right w:type="dxa" w:w="110"/>
            </w:tcMar>
          </w:tcPr>
          <w:p>
            <w:pPr>
              <w:spacing w:after="0" w:line="270"/>
            </w:pPr>
            <w:r>
              <w:rPr>
                <w:sz w:val="19"/>
                <w:szCs w:val="19"/>
              </w:rPr>
              <w:t xml:space="preserve">4,644</w:t>
            </w:r>
          </w:p>
        </w:tc>
        <w:tc>
          <w:tcPr>
            <w:tcW w:type="dxa" w:w="6560"/>
            <w:tcMar>
              <w:top w:type="dxa" w:w="80"/>
              <w:left w:type="dxa" w:w="110"/>
              <w:bottom w:type="dxa" w:w="80"/>
              <w:right w:type="dxa" w:w="110"/>
            </w:tcMar>
          </w:tcPr>
          <w:p>
            <w:pPr>
              <w:spacing w:after="0" w:line="270"/>
            </w:pPr>
            <w:r>
              <w:rPr>
                <w:sz w:val="19"/>
                <w:szCs w:val="19"/>
              </w:rPr>
              <w:t xml:space="preserve">Never seen during training</w:t>
            </w:r>
          </w:p>
        </w:tc>
      </w:tr>
    </w:tbl>
    <w:p>
      <w:pPr>
        <w:spacing w:after="140" w:line="300"/>
      </w:pPr>
      <w:r>
        <w:rPr>
          <w:sz w:val="21"/>
          <w:szCs w:val="21"/>
        </w:rPr>
        <w:t xml:space="preserve"/>
      </w:r>
    </w:p>
    <w:p>
      <w:pPr>
        <w:spacing w:after="140" w:line="300"/>
      </w:pPr>
      <w:r>
        <w:rPr>
          <w:sz w:val="21"/>
          <w:szCs w:val="21"/>
        </w:rPr>
        <w:t xml:space="preserve">Risk banding is the practical test of whether the score is usable, and it passes clearly: the three bands separate reality rather than merely sorting probabilities.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200"/>
        <w:gridCol w:w="2200"/>
        <w:gridCol w:w="2760"/>
        <w:gridCol w:w="2200"/>
      </w:tblGrid>
      <w:tr>
        <w:trPr>
          <w:tblHeader/>
        </w:trPr>
        <w:tc>
          <w:tcPr>
            <w:tcW w:type="dxa" w:w="2200"/>
            <w:shd w:fill="0B2545" w:color="auto" w:val="clear"/>
            <w:tcMar>
              <w:top w:type="dxa" w:w="80"/>
              <w:left w:type="dxa" w:w="110"/>
              <w:bottom w:type="dxa" w:w="80"/>
              <w:right w:type="dxa" w:w="110"/>
            </w:tcMar>
          </w:tcPr>
          <w:p>
            <w:pPr>
              <w:spacing w:after="0" w:line="270"/>
            </w:pPr>
            <w:r>
              <w:rPr>
                <w:b/>
                <w:bCs/>
                <w:color w:val="FFFFFF"/>
                <w:sz w:val="19"/>
                <w:szCs w:val="19"/>
              </w:rPr>
              <w:t xml:space="preserve">Risk band</w:t>
            </w:r>
          </w:p>
        </w:tc>
        <w:tc>
          <w:tcPr>
            <w:tcW w:type="dxa" w:w="2200"/>
            <w:shd w:fill="0B2545" w:color="auto" w:val="clear"/>
            <w:tcMar>
              <w:top w:type="dxa" w:w="80"/>
              <w:left w:type="dxa" w:w="110"/>
              <w:bottom w:type="dxa" w:w="80"/>
              <w:right w:type="dxa" w:w="110"/>
            </w:tcMar>
          </w:tcPr>
          <w:p>
            <w:pPr>
              <w:spacing w:after="0" w:line="270"/>
            </w:pPr>
            <w:r>
              <w:rPr>
                <w:b/>
                <w:bCs/>
                <w:color w:val="FFFFFF"/>
                <w:sz w:val="19"/>
                <w:szCs w:val="19"/>
              </w:rPr>
              <w:t xml:space="preserve">Bookings</w:t>
            </w:r>
          </w:p>
        </w:tc>
        <w:tc>
          <w:tcPr>
            <w:tcW w:type="dxa" w:w="2760"/>
            <w:shd w:fill="0B2545" w:color="auto" w:val="clear"/>
            <w:tcMar>
              <w:top w:type="dxa" w:w="80"/>
              <w:left w:type="dxa" w:w="110"/>
              <w:bottom w:type="dxa" w:w="80"/>
              <w:right w:type="dxa" w:w="110"/>
            </w:tcMar>
          </w:tcPr>
          <w:p>
            <w:pPr>
              <w:spacing w:after="0" w:line="270"/>
            </w:pPr>
            <w:r>
              <w:rPr>
                <w:b/>
                <w:bCs/>
                <w:color w:val="FFFFFF"/>
                <w:sz w:val="19"/>
                <w:szCs w:val="19"/>
              </w:rPr>
              <w:t xml:space="preserve">Actual cancellation rate</w:t>
            </w:r>
          </w:p>
        </w:tc>
        <w:tc>
          <w:tcPr>
            <w:tcW w:type="dxa" w:w="2200"/>
            <w:shd w:fill="0B2545" w:color="auto" w:val="clear"/>
            <w:tcMar>
              <w:top w:type="dxa" w:w="80"/>
              <w:left w:type="dxa" w:w="110"/>
              <w:bottom w:type="dxa" w:w="80"/>
              <w:right w:type="dxa" w:w="110"/>
            </w:tcMar>
          </w:tcPr>
          <w:p>
            <w:pPr>
              <w:spacing w:after="0" w:line="270"/>
            </w:pPr>
            <w:r>
              <w:rPr>
                <w:b/>
                <w:bCs/>
                <w:color w:val="FFFFFF"/>
                <w:sz w:val="19"/>
                <w:szCs w:val="19"/>
              </w:rPr>
              <w:t xml:space="preserve">Contracted value</w:t>
            </w:r>
          </w:p>
        </w:tc>
      </w:tr>
      <w:tr>
        <w:tc>
          <w:tcPr>
            <w:tcW w:type="dxa" w:w="2200"/>
            <w:tcMar>
              <w:top w:type="dxa" w:w="80"/>
              <w:left w:type="dxa" w:w="110"/>
              <w:bottom w:type="dxa" w:w="80"/>
              <w:right w:type="dxa" w:w="110"/>
            </w:tcMar>
          </w:tcPr>
          <w:p>
            <w:pPr>
              <w:spacing w:after="0" w:line="270"/>
            </w:pPr>
            <w:r>
              <w:rPr>
                <w:sz w:val="19"/>
                <w:szCs w:val="19"/>
              </w:rPr>
              <w:t xml:space="preserve">Low</w:t>
            </w:r>
          </w:p>
        </w:tc>
        <w:tc>
          <w:tcPr>
            <w:tcW w:type="dxa" w:w="2200"/>
            <w:tcMar>
              <w:top w:type="dxa" w:w="80"/>
              <w:left w:type="dxa" w:w="110"/>
              <w:bottom w:type="dxa" w:w="80"/>
              <w:right w:type="dxa" w:w="110"/>
            </w:tcMar>
          </w:tcPr>
          <w:p>
            <w:pPr>
              <w:spacing w:after="0" w:line="270"/>
            </w:pPr>
            <w:r>
              <w:rPr>
                <w:sz w:val="19"/>
                <w:szCs w:val="19"/>
              </w:rPr>
              <w:t xml:space="preserve">10,065</w:t>
            </w:r>
          </w:p>
        </w:tc>
        <w:tc>
          <w:tcPr>
            <w:tcW w:type="dxa" w:w="2760"/>
            <w:tcMar>
              <w:top w:type="dxa" w:w="80"/>
              <w:left w:type="dxa" w:w="110"/>
              <w:bottom w:type="dxa" w:w="80"/>
              <w:right w:type="dxa" w:w="110"/>
            </w:tcMar>
          </w:tcPr>
          <w:p>
            <w:pPr>
              <w:spacing w:after="0" w:line="270"/>
            </w:pPr>
            <w:r>
              <w:rPr>
                <w:sz w:val="19"/>
                <w:szCs w:val="19"/>
              </w:rPr>
              <w:t xml:space="preserve">3.9%</w:t>
            </w:r>
          </w:p>
        </w:tc>
        <w:tc>
          <w:tcPr>
            <w:tcW w:type="dxa" w:w="2200"/>
            <w:tcMar>
              <w:top w:type="dxa" w:w="80"/>
              <w:left w:type="dxa" w:w="110"/>
              <w:bottom w:type="dxa" w:w="80"/>
              <w:right w:type="dxa" w:w="110"/>
            </w:tcMar>
          </w:tcPr>
          <w:p>
            <w:pPr>
              <w:spacing w:after="0" w:line="270"/>
            </w:pPr>
            <w:r>
              <w:rPr>
                <w:sz w:val="19"/>
                <w:szCs w:val="19"/>
              </w:rPr>
              <w:t xml:space="preserve">EUR 4.16M</w:t>
            </w:r>
          </w:p>
        </w:tc>
      </w:tr>
      <w:tr>
        <w:tc>
          <w:tcPr>
            <w:tcW w:type="dxa" w:w="2200"/>
            <w:shd w:fill="F6F8FB" w:color="auto" w:val="clear"/>
            <w:tcMar>
              <w:top w:type="dxa" w:w="80"/>
              <w:left w:type="dxa" w:w="110"/>
              <w:bottom w:type="dxa" w:w="80"/>
              <w:right w:type="dxa" w:w="110"/>
            </w:tcMar>
          </w:tcPr>
          <w:p>
            <w:pPr>
              <w:spacing w:after="0" w:line="270"/>
            </w:pPr>
            <w:r>
              <w:rPr>
                <w:sz w:val="19"/>
                <w:szCs w:val="19"/>
              </w:rPr>
              <w:t xml:space="preserve">Medium</w:t>
            </w:r>
          </w:p>
        </w:tc>
        <w:tc>
          <w:tcPr>
            <w:tcW w:type="dxa" w:w="2200"/>
            <w:shd w:fill="F6F8FB" w:color="auto" w:val="clear"/>
            <w:tcMar>
              <w:top w:type="dxa" w:w="80"/>
              <w:left w:type="dxa" w:w="110"/>
              <w:bottom w:type="dxa" w:w="80"/>
              <w:right w:type="dxa" w:w="110"/>
            </w:tcMar>
          </w:tcPr>
          <w:p>
            <w:pPr>
              <w:spacing w:after="0" w:line="270"/>
            </w:pPr>
            <w:r>
              <w:rPr>
                <w:sz w:val="19"/>
                <w:szCs w:val="19"/>
              </w:rPr>
              <w:t xml:space="preserve">9,519</w:t>
            </w:r>
          </w:p>
        </w:tc>
        <w:tc>
          <w:tcPr>
            <w:tcW w:type="dxa" w:w="2760"/>
            <w:shd w:fill="F6F8FB" w:color="auto" w:val="clear"/>
            <w:tcMar>
              <w:top w:type="dxa" w:w="80"/>
              <w:left w:type="dxa" w:w="110"/>
              <w:bottom w:type="dxa" w:w="80"/>
              <w:right w:type="dxa" w:w="110"/>
            </w:tcMar>
          </w:tcPr>
          <w:p>
            <w:pPr>
              <w:spacing w:after="0" w:line="270"/>
            </w:pPr>
            <w:r>
              <w:rPr>
                <w:sz w:val="19"/>
                <w:szCs w:val="19"/>
              </w:rPr>
              <w:t xml:space="preserve">44.4%</w:t>
            </w:r>
          </w:p>
        </w:tc>
        <w:tc>
          <w:tcPr>
            <w:tcW w:type="dxa" w:w="2200"/>
            <w:shd w:fill="F6F8FB" w:color="auto" w:val="clear"/>
            <w:tcMar>
              <w:top w:type="dxa" w:w="80"/>
              <w:left w:type="dxa" w:w="110"/>
              <w:bottom w:type="dxa" w:w="80"/>
              <w:right w:type="dxa" w:w="110"/>
            </w:tcMar>
          </w:tcPr>
          <w:p>
            <w:pPr>
              <w:spacing w:after="0" w:line="270"/>
            </w:pPr>
            <w:r>
              <w:rPr>
                <w:sz w:val="19"/>
                <w:szCs w:val="19"/>
              </w:rPr>
              <w:t xml:space="preserve">EUR 3.99M</w:t>
            </w:r>
          </w:p>
        </w:tc>
      </w:tr>
      <w:tr>
        <w:tc>
          <w:tcPr>
            <w:tcW w:type="dxa" w:w="2200"/>
            <w:tcMar>
              <w:top w:type="dxa" w:w="80"/>
              <w:left w:type="dxa" w:w="110"/>
              <w:bottom w:type="dxa" w:w="80"/>
              <w:right w:type="dxa" w:w="110"/>
            </w:tcMar>
          </w:tcPr>
          <w:p>
            <w:pPr>
              <w:spacing w:after="0" w:line="270"/>
            </w:pPr>
            <w:r>
              <w:rPr>
                <w:sz w:val="19"/>
                <w:szCs w:val="19"/>
              </w:rPr>
              <w:t xml:space="preserve">High</w:t>
            </w:r>
          </w:p>
        </w:tc>
        <w:tc>
          <w:tcPr>
            <w:tcW w:type="dxa" w:w="2200"/>
            <w:tcMar>
              <w:top w:type="dxa" w:w="80"/>
              <w:left w:type="dxa" w:w="110"/>
              <w:bottom w:type="dxa" w:w="80"/>
              <w:right w:type="dxa" w:w="110"/>
            </w:tcMar>
          </w:tcPr>
          <w:p>
            <w:pPr>
              <w:spacing w:after="0" w:line="270"/>
            </w:pPr>
            <w:r>
              <w:rPr>
                <w:sz w:val="19"/>
                <w:szCs w:val="19"/>
              </w:rPr>
              <w:t xml:space="preserve">3,636</w:t>
            </w:r>
          </w:p>
        </w:tc>
        <w:tc>
          <w:tcPr>
            <w:tcW w:type="dxa" w:w="2760"/>
            <w:tcMar>
              <w:top w:type="dxa" w:w="80"/>
              <w:left w:type="dxa" w:w="110"/>
              <w:bottom w:type="dxa" w:w="80"/>
              <w:right w:type="dxa" w:w="110"/>
            </w:tcMar>
          </w:tcPr>
          <w:p>
            <w:pPr>
              <w:spacing w:after="0" w:line="270"/>
            </w:pPr>
            <w:r>
              <w:rPr>
                <w:sz w:val="19"/>
                <w:szCs w:val="19"/>
              </w:rPr>
              <w:t xml:space="preserve">86.5%</w:t>
            </w:r>
          </w:p>
        </w:tc>
        <w:tc>
          <w:tcPr>
            <w:tcW w:type="dxa" w:w="2200"/>
            <w:tcMar>
              <w:top w:type="dxa" w:w="80"/>
              <w:left w:type="dxa" w:w="110"/>
              <w:bottom w:type="dxa" w:w="80"/>
              <w:right w:type="dxa" w:w="110"/>
            </w:tcMar>
          </w:tcPr>
          <w:p>
            <w:pPr>
              <w:spacing w:after="0" w:line="270"/>
            </w:pPr>
            <w:r>
              <w:rPr>
                <w:sz w:val="19"/>
                <w:szCs w:val="19"/>
              </w:rPr>
              <w:t xml:space="preserve">EUR 1.51M</w:t>
            </w:r>
          </w:p>
        </w:tc>
      </w:tr>
    </w:tbl>
    <w:p>
      <w:pPr>
        <w:spacing w:after="140" w:line="300"/>
      </w:pPr>
      <w:r>
        <w:rPr>
          <w:sz w:val="21"/>
          <w:szCs w:val="21"/>
        </w:rPr>
        <w:t xml:space="preserve"/>
      </w:r>
    </w:p>
    <w:p>
      <w:pPr>
        <w:pStyle w:val="Heading2"/>
        <w:spacing w:after="140" w:before="300"/>
      </w:pPr>
      <w:r>
        <w:rPr>
          <w:color w:val="1E3A5F"/>
        </w:rPr>
        <w:t xml:space="preserve">7.3 What drives a cancellation</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1000"/>
        <w:gridCol w:w="5600"/>
        <w:gridCol w:w="2760"/>
      </w:tblGrid>
      <w:tr>
        <w:trPr>
          <w:tblHeader/>
        </w:trPr>
        <w:tc>
          <w:tcPr>
            <w:tcW w:type="dxa" w:w="1000"/>
            <w:shd w:fill="0B2545" w:color="auto" w:val="clear"/>
            <w:tcMar>
              <w:top w:type="dxa" w:w="80"/>
              <w:left w:type="dxa" w:w="110"/>
              <w:bottom w:type="dxa" w:w="80"/>
              <w:right w:type="dxa" w:w="110"/>
            </w:tcMar>
          </w:tcPr>
          <w:p>
            <w:pPr>
              <w:spacing w:after="0" w:line="270"/>
            </w:pPr>
            <w:r>
              <w:rPr>
                <w:b/>
                <w:bCs/>
                <w:color w:val="FFFFFF"/>
                <w:sz w:val="19"/>
                <w:szCs w:val="19"/>
              </w:rPr>
              <w:t xml:space="preserve">Rank</w:t>
            </w:r>
          </w:p>
        </w:tc>
        <w:tc>
          <w:tcPr>
            <w:tcW w:type="dxa" w:w="5600"/>
            <w:shd w:fill="0B2545" w:color="auto" w:val="clear"/>
            <w:tcMar>
              <w:top w:type="dxa" w:w="80"/>
              <w:left w:type="dxa" w:w="110"/>
              <w:bottom w:type="dxa" w:w="80"/>
              <w:right w:type="dxa" w:w="110"/>
            </w:tcMar>
          </w:tcPr>
          <w:p>
            <w:pPr>
              <w:spacing w:after="0" w:line="270"/>
            </w:pPr>
            <w:r>
              <w:rPr>
                <w:b/>
                <w:bCs/>
                <w:color w:val="FFFFFF"/>
                <w:sz w:val="19"/>
                <w:szCs w:val="19"/>
              </w:rPr>
              <w:t xml:space="preserve">Driver</w:t>
            </w:r>
          </w:p>
        </w:tc>
        <w:tc>
          <w:tcPr>
            <w:tcW w:type="dxa" w:w="2760"/>
            <w:shd w:fill="0B2545" w:color="auto" w:val="clear"/>
            <w:tcMar>
              <w:top w:type="dxa" w:w="80"/>
              <w:left w:type="dxa" w:w="110"/>
              <w:bottom w:type="dxa" w:w="80"/>
              <w:right w:type="dxa" w:w="110"/>
            </w:tcMar>
          </w:tcPr>
          <w:p>
            <w:pPr>
              <w:spacing w:after="0" w:line="270"/>
            </w:pPr>
            <w:r>
              <w:rPr>
                <w:b/>
                <w:bCs/>
                <w:color w:val="FFFFFF"/>
                <w:sz w:val="19"/>
                <w:szCs w:val="19"/>
              </w:rPr>
              <w:t xml:space="preserve">Share of model importance</w:t>
            </w:r>
          </w:p>
        </w:tc>
      </w:tr>
      <w:tr>
        <w:tc>
          <w:tcPr>
            <w:tcW w:type="dxa" w:w="1000"/>
            <w:tcMar>
              <w:top w:type="dxa" w:w="80"/>
              <w:left w:type="dxa" w:w="110"/>
              <w:bottom w:type="dxa" w:w="80"/>
              <w:right w:type="dxa" w:w="110"/>
            </w:tcMar>
          </w:tcPr>
          <w:p>
            <w:pPr>
              <w:spacing w:after="0" w:line="270"/>
            </w:pPr>
            <w:r>
              <w:rPr>
                <w:sz w:val="19"/>
                <w:szCs w:val="19"/>
              </w:rPr>
              <w:t xml:space="preserve">1</w:t>
            </w:r>
          </w:p>
        </w:tc>
        <w:tc>
          <w:tcPr>
            <w:tcW w:type="dxa" w:w="5600"/>
            <w:tcMar>
              <w:top w:type="dxa" w:w="80"/>
              <w:left w:type="dxa" w:w="110"/>
              <w:bottom w:type="dxa" w:w="80"/>
              <w:right w:type="dxa" w:w="110"/>
            </w:tcMar>
          </w:tcPr>
          <w:p>
            <w:pPr>
              <w:spacing w:after="0" w:line="270"/>
            </w:pPr>
            <w:r>
              <w:rPr>
                <w:sz w:val="19"/>
                <w:szCs w:val="19"/>
              </w:rPr>
              <w:t xml:space="preserve">Lead time (days booked in advance)</w:t>
            </w:r>
          </w:p>
        </w:tc>
        <w:tc>
          <w:tcPr>
            <w:tcW w:type="dxa" w:w="2760"/>
            <w:tcMar>
              <w:top w:type="dxa" w:w="80"/>
              <w:left w:type="dxa" w:w="110"/>
              <w:bottom w:type="dxa" w:w="80"/>
              <w:right w:type="dxa" w:w="110"/>
            </w:tcMar>
          </w:tcPr>
          <w:p>
            <w:pPr>
              <w:spacing w:after="0" w:line="270"/>
            </w:pPr>
            <w:r>
              <w:rPr>
                <w:sz w:val="19"/>
                <w:szCs w:val="19"/>
              </w:rPr>
              <w:t xml:space="preserve">16.2%</w:t>
            </w:r>
          </w:p>
        </w:tc>
      </w:tr>
      <w:tr>
        <w:tc>
          <w:tcPr>
            <w:tcW w:type="dxa" w:w="1000"/>
            <w:shd w:fill="F6F8FB" w:color="auto" w:val="clear"/>
            <w:tcMar>
              <w:top w:type="dxa" w:w="80"/>
              <w:left w:type="dxa" w:w="110"/>
              <w:bottom w:type="dxa" w:w="80"/>
              <w:right w:type="dxa" w:w="110"/>
            </w:tcMar>
          </w:tcPr>
          <w:p>
            <w:pPr>
              <w:spacing w:after="0" w:line="270"/>
            </w:pPr>
            <w:r>
              <w:rPr>
                <w:sz w:val="19"/>
                <w:szCs w:val="19"/>
              </w:rPr>
              <w:t xml:space="preserve">2</w:t>
            </w:r>
          </w:p>
        </w:tc>
        <w:tc>
          <w:tcPr>
            <w:tcW w:type="dxa" w:w="5600"/>
            <w:shd w:fill="F6F8FB" w:color="auto" w:val="clear"/>
            <w:tcMar>
              <w:top w:type="dxa" w:w="80"/>
              <w:left w:type="dxa" w:w="110"/>
              <w:bottom w:type="dxa" w:w="80"/>
              <w:right w:type="dxa" w:w="110"/>
            </w:tcMar>
          </w:tcPr>
          <w:p>
            <w:pPr>
              <w:spacing w:after="0" w:line="270"/>
            </w:pPr>
            <w:r>
              <w:rPr>
                <w:sz w:val="19"/>
                <w:szCs w:val="19"/>
              </w:rPr>
              <w:t xml:space="preserve">Deposit policy</w:t>
            </w:r>
          </w:p>
        </w:tc>
        <w:tc>
          <w:tcPr>
            <w:tcW w:type="dxa" w:w="2760"/>
            <w:shd w:fill="F6F8FB" w:color="auto" w:val="clear"/>
            <w:tcMar>
              <w:top w:type="dxa" w:w="80"/>
              <w:left w:type="dxa" w:w="110"/>
              <w:bottom w:type="dxa" w:w="80"/>
              <w:right w:type="dxa" w:w="110"/>
            </w:tcMar>
          </w:tcPr>
          <w:p>
            <w:pPr>
              <w:spacing w:after="0" w:line="270"/>
            </w:pPr>
            <w:r>
              <w:rPr>
                <w:sz w:val="19"/>
                <w:szCs w:val="19"/>
              </w:rPr>
              <w:t xml:space="preserve">16.0%</w:t>
            </w:r>
          </w:p>
        </w:tc>
      </w:tr>
      <w:tr>
        <w:tc>
          <w:tcPr>
            <w:tcW w:type="dxa" w:w="1000"/>
            <w:tcMar>
              <w:top w:type="dxa" w:w="80"/>
              <w:left w:type="dxa" w:w="110"/>
              <w:bottom w:type="dxa" w:w="80"/>
              <w:right w:type="dxa" w:w="110"/>
            </w:tcMar>
          </w:tcPr>
          <w:p>
            <w:pPr>
              <w:spacing w:after="0" w:line="270"/>
            </w:pPr>
            <w:r>
              <w:rPr>
                <w:sz w:val="19"/>
                <w:szCs w:val="19"/>
              </w:rPr>
              <w:t xml:space="preserve">3</w:t>
            </w:r>
          </w:p>
        </w:tc>
        <w:tc>
          <w:tcPr>
            <w:tcW w:type="dxa" w:w="5600"/>
            <w:tcMar>
              <w:top w:type="dxa" w:w="80"/>
              <w:left w:type="dxa" w:w="110"/>
              <w:bottom w:type="dxa" w:w="80"/>
              <w:right w:type="dxa" w:w="110"/>
            </w:tcMar>
          </w:tcPr>
          <w:p>
            <w:pPr>
              <w:spacing w:after="0" w:line="270"/>
            </w:pPr>
            <w:r>
              <w:rPr>
                <w:sz w:val="19"/>
                <w:szCs w:val="19"/>
              </w:rPr>
              <w:t xml:space="preserve">Average daily rate (price)</w:t>
            </w:r>
          </w:p>
        </w:tc>
        <w:tc>
          <w:tcPr>
            <w:tcW w:type="dxa" w:w="2760"/>
            <w:tcMar>
              <w:top w:type="dxa" w:w="80"/>
              <w:left w:type="dxa" w:w="110"/>
              <w:bottom w:type="dxa" w:w="80"/>
              <w:right w:type="dxa" w:w="110"/>
            </w:tcMar>
          </w:tcPr>
          <w:p>
            <w:pPr>
              <w:spacing w:after="0" w:line="270"/>
            </w:pPr>
            <w:r>
              <w:rPr>
                <w:sz w:val="19"/>
                <w:szCs w:val="19"/>
              </w:rPr>
              <w:t xml:space="preserve">13.7%</w:t>
            </w:r>
          </w:p>
        </w:tc>
      </w:tr>
      <w:tr>
        <w:tc>
          <w:tcPr>
            <w:tcW w:type="dxa" w:w="1000"/>
            <w:shd w:fill="F6F8FB" w:color="auto" w:val="clear"/>
            <w:tcMar>
              <w:top w:type="dxa" w:w="80"/>
              <w:left w:type="dxa" w:w="110"/>
              <w:bottom w:type="dxa" w:w="80"/>
              <w:right w:type="dxa" w:w="110"/>
            </w:tcMar>
          </w:tcPr>
          <w:p>
            <w:pPr>
              <w:spacing w:after="0" w:line="270"/>
            </w:pPr>
            <w:r>
              <w:rPr>
                <w:sz w:val="19"/>
                <w:szCs w:val="19"/>
              </w:rPr>
              <w:t xml:space="preserve">4</w:t>
            </w:r>
          </w:p>
        </w:tc>
        <w:tc>
          <w:tcPr>
            <w:tcW w:type="dxa" w:w="5600"/>
            <w:shd w:fill="F6F8FB" w:color="auto" w:val="clear"/>
            <w:tcMar>
              <w:top w:type="dxa" w:w="80"/>
              <w:left w:type="dxa" w:w="110"/>
              <w:bottom w:type="dxa" w:w="80"/>
              <w:right w:type="dxa" w:w="110"/>
            </w:tcMar>
          </w:tcPr>
          <w:p>
            <w:pPr>
              <w:spacing w:after="0" w:line="270"/>
            </w:pPr>
            <w:r>
              <w:rPr>
                <w:sz w:val="19"/>
                <w:szCs w:val="19"/>
              </w:rPr>
              <w:t xml:space="preserve">Arrival month (seasonality)</w:t>
            </w:r>
          </w:p>
        </w:tc>
        <w:tc>
          <w:tcPr>
            <w:tcW w:type="dxa" w:w="2760"/>
            <w:shd w:fill="F6F8FB" w:color="auto" w:val="clear"/>
            <w:tcMar>
              <w:top w:type="dxa" w:w="80"/>
              <w:left w:type="dxa" w:w="110"/>
              <w:bottom w:type="dxa" w:w="80"/>
              <w:right w:type="dxa" w:w="110"/>
            </w:tcMar>
          </w:tcPr>
          <w:p>
            <w:pPr>
              <w:spacing w:after="0" w:line="270"/>
            </w:pPr>
            <w:r>
              <w:rPr>
                <w:sz w:val="19"/>
                <w:szCs w:val="19"/>
              </w:rPr>
              <w:t xml:space="preserve">8.0%</w:t>
            </w:r>
          </w:p>
        </w:tc>
      </w:tr>
      <w:tr>
        <w:tc>
          <w:tcPr>
            <w:tcW w:type="dxa" w:w="1000"/>
            <w:tcMar>
              <w:top w:type="dxa" w:w="80"/>
              <w:left w:type="dxa" w:w="110"/>
              <w:bottom w:type="dxa" w:w="80"/>
              <w:right w:type="dxa" w:w="110"/>
            </w:tcMar>
          </w:tcPr>
          <w:p>
            <w:pPr>
              <w:spacing w:after="0" w:line="270"/>
            </w:pPr>
            <w:r>
              <w:rPr>
                <w:sz w:val="19"/>
                <w:szCs w:val="19"/>
              </w:rPr>
              <w:t xml:space="preserve">5</w:t>
            </w:r>
          </w:p>
        </w:tc>
        <w:tc>
          <w:tcPr>
            <w:tcW w:type="dxa" w:w="5600"/>
            <w:tcMar>
              <w:top w:type="dxa" w:w="80"/>
              <w:left w:type="dxa" w:w="110"/>
              <w:bottom w:type="dxa" w:w="80"/>
              <w:right w:type="dxa" w:w="110"/>
            </w:tcMar>
          </w:tcPr>
          <w:p>
            <w:pPr>
              <w:spacing w:after="0" w:line="270"/>
            </w:pPr>
            <w:r>
              <w:rPr>
                <w:sz w:val="19"/>
                <w:szCs w:val="19"/>
              </w:rPr>
              <w:t xml:space="preserve">Length of stay</w:t>
            </w:r>
          </w:p>
        </w:tc>
        <w:tc>
          <w:tcPr>
            <w:tcW w:type="dxa" w:w="2760"/>
            <w:tcMar>
              <w:top w:type="dxa" w:w="80"/>
              <w:left w:type="dxa" w:w="110"/>
              <w:bottom w:type="dxa" w:w="80"/>
              <w:right w:type="dxa" w:w="110"/>
            </w:tcMar>
          </w:tcPr>
          <w:p>
            <w:pPr>
              <w:spacing w:after="0" w:line="270"/>
            </w:pPr>
            <w:r>
              <w:rPr>
                <w:sz w:val="19"/>
                <w:szCs w:val="19"/>
              </w:rPr>
              <w:t xml:space="preserve">6.6%</w:t>
            </w:r>
          </w:p>
        </w:tc>
      </w:tr>
      <w:tr>
        <w:tc>
          <w:tcPr>
            <w:tcW w:type="dxa" w:w="1000"/>
            <w:shd w:fill="F6F8FB" w:color="auto" w:val="clear"/>
            <w:tcMar>
              <w:top w:type="dxa" w:w="80"/>
              <w:left w:type="dxa" w:w="110"/>
              <w:bottom w:type="dxa" w:w="80"/>
              <w:right w:type="dxa" w:w="110"/>
            </w:tcMar>
          </w:tcPr>
          <w:p>
            <w:pPr>
              <w:spacing w:after="0" w:line="270"/>
            </w:pPr>
            <w:r>
              <w:rPr>
                <w:sz w:val="19"/>
                <w:szCs w:val="19"/>
              </w:rPr>
              <w:t xml:space="preserve">6</w:t>
            </w:r>
          </w:p>
        </w:tc>
        <w:tc>
          <w:tcPr>
            <w:tcW w:type="dxa" w:w="5600"/>
            <w:shd w:fill="F6F8FB" w:color="auto" w:val="clear"/>
            <w:tcMar>
              <w:top w:type="dxa" w:w="80"/>
              <w:left w:type="dxa" w:w="110"/>
              <w:bottom w:type="dxa" w:w="80"/>
              <w:right w:type="dxa" w:w="110"/>
            </w:tcMar>
          </w:tcPr>
          <w:p>
            <w:pPr>
              <w:spacing w:after="0" w:line="270"/>
            </w:pPr>
            <w:r>
              <w:rPr>
                <w:sz w:val="19"/>
                <w:szCs w:val="19"/>
              </w:rPr>
              <w:t xml:space="preserve">Room type reserved</w:t>
            </w:r>
          </w:p>
        </w:tc>
        <w:tc>
          <w:tcPr>
            <w:tcW w:type="dxa" w:w="2760"/>
            <w:shd w:fill="F6F8FB" w:color="auto" w:val="clear"/>
            <w:tcMar>
              <w:top w:type="dxa" w:w="80"/>
              <w:left w:type="dxa" w:w="110"/>
              <w:bottom w:type="dxa" w:w="80"/>
              <w:right w:type="dxa" w:w="110"/>
            </w:tcMar>
          </w:tcPr>
          <w:p>
            <w:pPr>
              <w:spacing w:after="0" w:line="270"/>
            </w:pPr>
            <w:r>
              <w:rPr>
                <w:sz w:val="19"/>
                <w:szCs w:val="19"/>
              </w:rPr>
              <w:t xml:space="preserve">5.6%</w:t>
            </w:r>
          </w:p>
        </w:tc>
      </w:tr>
    </w:tbl>
    <w:p>
      <w:pPr>
        <w:spacing w:after="140" w:line="300"/>
      </w:pPr>
      <w:r>
        <w:rPr>
          <w:sz w:val="21"/>
          <w:szCs w:val="21"/>
        </w:rPr>
        <w:t xml:space="preserve"/>
      </w:r>
    </w:p>
    <w:p>
      <w:pPr>
        <w:spacing w:after="140" w:line="300"/>
      </w:pPr>
      <w:r>
        <w:rPr>
          <w:sz w:val="21"/>
          <w:szCs w:val="21"/>
        </w:rPr>
        <w:t xml:space="preserve">The concentration of importance in a small number of drivers is itself the commercially useful finding. Risk is structural - it sits in lead time, deposit policy and price - which means it can be addressed with policy changes aimed at defined cohorts, rather than by blanketing every guest with discounts.</w:t>
      </w:r>
    </w:p>
    <w:p>
      <w:r>
        <w:br w:type="page"/>
      </w:r>
    </w:p>
    <w:p>
      <w:pPr>
        <w:pStyle w:val="Heading1"/>
        <w:spacing w:after="140" w:before="300"/>
      </w:pPr>
      <w:r>
        <w:rPr>
          <w:color w:val="0B2545"/>
        </w:rPr>
        <w:t xml:space="preserve">8. Findings and recommended actions</w:t>
      </w:r>
    </w:p>
    <w:p>
      <w:pPr>
        <w:spacing w:after="140" w:line="300"/>
      </w:pPr>
      <w:r>
        <w:rPr>
          <w:sz w:val="21"/>
          <w:szCs w:val="21"/>
        </w:rPr>
        <w:t xml:space="preserve">Each finding below is produced by the insight engine at runtime. No figure in this section is hard-coded; every number is recomputed from whatever dataset is loaded, which is what allows the same platform to be pointed at a new property or a new year without rewriting the analysis.</w:t>
      </w:r>
    </w:p>
    <w:p>
      <w:pPr>
        <w:pStyle w:val="Heading2"/>
        <w:spacing w:after="140" w:before="300"/>
      </w:pPr>
      <w:r>
        <w:rPr>
          <w:color w:val="1E3A5F"/>
        </w:rPr>
        <w:t xml:space="preserve">8.1 [Risk] Cancellations are the single largest source of revenue leakage</w:t>
      </w:r>
    </w:p>
    <w:p>
      <w:pPr>
        <w:spacing w:after="80" w:line="290"/>
      </w:pPr>
      <w:r>
        <w:rPr>
          <w:b/>
          <w:bCs/>
          <w:sz w:val="21"/>
          <w:szCs w:val="21"/>
        </w:rPr>
        <w:t xml:space="preserve">Fact. </w:t>
      </w:r>
      <w:r>
        <w:rPr>
          <w:sz w:val="21"/>
          <w:szCs w:val="21"/>
        </w:rPr>
        <w:t xml:space="preserve">7,762 of 23,220 bookings (33.4%) were cancelled, destroying €3.24M of contracted value.</w:t>
      </w:r>
    </w:p>
    <w:p>
      <w:pPr>
        <w:spacing w:after="80" w:line="290"/>
      </w:pPr>
      <w:r>
        <w:rPr>
          <w:b/>
          <w:bCs/>
          <w:sz w:val="21"/>
          <w:szCs w:val="21"/>
        </w:rPr>
        <w:t xml:space="preserve">Insight. </w:t>
      </w:r>
      <w:r>
        <w:rPr>
          <w:sz w:val="21"/>
          <w:szCs w:val="21"/>
        </w:rPr>
        <w:t xml:space="preserve">33.6% of everything the sales engine books never converts to cash. Demand generation is not the constraint - conversion integrity is.</w:t>
      </w:r>
    </w:p>
    <w:p>
      <w:pPr>
        <w:spacing w:after="80" w:line="290"/>
      </w:pPr>
      <w:r>
        <w:rPr>
          <w:b/>
          <w:bCs/>
          <w:sz w:val="21"/>
          <w:szCs w:val="21"/>
        </w:rPr>
        <w:t xml:space="preserve">Action. </w:t>
      </w:r>
      <w:r>
        <w:rPr>
          <w:sz w:val="21"/>
          <w:szCs w:val="21"/>
        </w:rPr>
        <w:t xml:space="preserve">Make cancellation rate a board-level KPI alongside revenue, and hold each channel owner accountable for its own conversion rate.</w:t>
      </w:r>
    </w:p>
    <w:p>
      <w:pPr>
        <w:spacing w:after="200" w:line="290"/>
      </w:pPr>
      <w:r>
        <w:rPr>
          <w:b/>
          <w:bCs/>
          <w:color w:val="1F6FEB"/>
          <w:sz w:val="21"/>
          <w:szCs w:val="21"/>
        </w:rPr>
        <w:t xml:space="preserve">Value at stake: EUR 3.24M</w:t>
      </w:r>
    </w:p>
    <w:p>
      <w:pPr>
        <w:pStyle w:val="Heading2"/>
        <w:spacing w:after="140" w:before="300"/>
      </w:pPr>
      <w:r>
        <w:rPr>
          <w:color w:val="1E3A5F"/>
        </w:rPr>
        <w:t xml:space="preserve">8.2 [Driver] Cancellation risk compounds with booking lead time</w:t>
      </w:r>
    </w:p>
    <w:p>
      <w:pPr>
        <w:spacing w:after="80" w:line="290"/>
      </w:pPr>
      <w:r>
        <w:rPr>
          <w:b/>
          <w:bCs/>
          <w:sz w:val="21"/>
          <w:szCs w:val="21"/>
        </w:rPr>
        <w:t xml:space="preserve">Fact. </w:t>
      </w:r>
      <w:r>
        <w:rPr>
          <w:sz w:val="21"/>
          <w:szCs w:val="21"/>
        </w:rPr>
        <w:t xml:space="preserve">Bookings made 180+ days ahead cancel at 44.1% versus 27.8% for 8-30 days bookings - a 16 percentage point gap.</w:t>
      </w:r>
    </w:p>
    <w:p>
      <w:pPr>
        <w:spacing w:after="80" w:line="290"/>
      </w:pPr>
      <w:r>
        <w:rPr>
          <w:b/>
          <w:bCs/>
          <w:sz w:val="21"/>
          <w:szCs w:val="21"/>
        </w:rPr>
        <w:t xml:space="preserve">Insight. </w:t>
      </w:r>
      <w:r>
        <w:rPr>
          <w:sz w:val="21"/>
          <w:szCs w:val="21"/>
        </w:rPr>
        <w:t xml:space="preserve">Long-horizon bookings are options, not commitments. The further out a guest books, the more time competitors and life have to intervene.</w:t>
      </w:r>
    </w:p>
    <w:p>
      <w:pPr>
        <w:spacing w:after="80" w:line="290"/>
      </w:pPr>
      <w:r>
        <w:rPr>
          <w:b/>
          <w:bCs/>
          <w:sz w:val="21"/>
          <w:szCs w:val="21"/>
        </w:rPr>
        <w:t xml:space="preserve">Action. </w:t>
      </w:r>
      <w:r>
        <w:rPr>
          <w:sz w:val="21"/>
          <w:szCs w:val="21"/>
        </w:rPr>
        <w:t xml:space="preserve">Introduce a re-confirmation touchpoint 30 and 7 days before arrival for the 180+ days cohort, plus a small non-refundable deposit or a free-change incentive to convert the option into a commitment.</w:t>
      </w:r>
    </w:p>
    <w:p>
      <w:pPr>
        <w:spacing w:after="200" w:line="290"/>
      </w:pPr>
      <w:r>
        <w:rPr>
          <w:b/>
          <w:bCs/>
          <w:color w:val="1F6FEB"/>
          <w:sz w:val="21"/>
          <w:szCs w:val="21"/>
        </w:rPr>
        <w:t xml:space="preserve">Value at stake: EUR 658K</w:t>
      </w:r>
    </w:p>
    <w:p>
      <w:pPr>
        <w:pStyle w:val="Heading2"/>
        <w:spacing w:after="140" w:before="300"/>
      </w:pPr>
      <w:r>
        <w:rPr>
          <w:color w:val="1E3A5F"/>
        </w:rPr>
        <w:t xml:space="preserve">8.3 [Risk] The deposit policy is not doing the job it was designed to do</w:t>
      </w:r>
    </w:p>
    <w:p>
      <w:pPr>
        <w:spacing w:after="80" w:line="290"/>
      </w:pPr>
      <w:r>
        <w:rPr>
          <w:b/>
          <w:bCs/>
          <w:sz w:val="21"/>
          <w:szCs w:val="21"/>
        </w:rPr>
        <w:t xml:space="preserve">Fact. </w:t>
      </w:r>
      <w:r>
        <w:rPr>
          <w:sz w:val="21"/>
          <w:szCs w:val="21"/>
        </w:rPr>
        <w:t xml:space="preserve">'Non Refund' bookings cancel at 70.1% while 'No Deposit' bookings cancel at 28.3%.</w:t>
      </w:r>
    </w:p>
    <w:p>
      <w:pPr>
        <w:spacing w:after="80" w:line="290"/>
      </w:pPr>
      <w:r>
        <w:rPr>
          <w:b/>
          <w:bCs/>
          <w:sz w:val="21"/>
          <w:szCs w:val="21"/>
        </w:rPr>
        <w:t xml:space="preserve">Insight. </w:t>
      </w:r>
      <w:r>
        <w:rPr>
          <w:sz w:val="21"/>
          <w:szCs w:val="21"/>
        </w:rPr>
        <w:t xml:space="preserve">The policy correlates with the riskiest traffic rather than suppressing it - it is being applied after risk is detected by partners, or it is concentrated in a low-trust channel. Either way the deterrent effect is absent.</w:t>
      </w:r>
    </w:p>
    <w:p>
      <w:pPr>
        <w:spacing w:after="80" w:line="290"/>
      </w:pPr>
      <w:r>
        <w:rPr>
          <w:b/>
          <w:bCs/>
          <w:sz w:val="21"/>
          <w:szCs w:val="21"/>
        </w:rPr>
        <w:t xml:space="preserve">Action. </w:t>
      </w:r>
      <w:r>
        <w:rPr>
          <w:sz w:val="21"/>
          <w:szCs w:val="21"/>
        </w:rPr>
        <w:t xml:space="preserve">Audit where the high-cancellation deposit policy is applied, and A/B test a partial-deposit + flexible-change product against it for one quarter.</w:t>
      </w:r>
    </w:p>
    <w:p>
      <w:pPr>
        <w:spacing w:after="200" w:line="290"/>
      </w:pPr>
      <w:r>
        <w:rPr>
          <w:b/>
          <w:bCs/>
          <w:color w:val="1F6FEB"/>
          <w:sz w:val="21"/>
          <w:szCs w:val="21"/>
        </w:rPr>
        <w:t xml:space="preserve">Value at stake: EUR 839K</w:t>
      </w:r>
    </w:p>
    <w:p>
      <w:pPr>
        <w:pStyle w:val="Heading2"/>
        <w:spacing w:after="140" w:before="300"/>
      </w:pPr>
      <w:r>
        <w:rPr>
          <w:color w:val="1E3A5F"/>
        </w:rPr>
        <w:t xml:space="preserve">8.4 [Risk] Channel concentration: 'Online TA' carries the business</w:t>
      </w:r>
    </w:p>
    <w:p>
      <w:pPr>
        <w:spacing w:after="80" w:line="290"/>
      </w:pPr>
      <w:r>
        <w:rPr>
          <w:b/>
          <w:bCs/>
          <w:sz w:val="21"/>
          <w:szCs w:val="21"/>
        </w:rPr>
        <w:t xml:space="preserve">Fact. </w:t>
      </w:r>
      <w:r>
        <w:rPr>
          <w:sz w:val="21"/>
          <w:szCs w:val="21"/>
        </w:rPr>
        <w:t xml:space="preserve">'Online TA' delivers 47% of bookings and €2.79M of realised revenue, at a 38.5% cancellation rate. 'Online TA' alone loses €1.75M.</w:t>
      </w:r>
    </w:p>
    <w:p>
      <w:pPr>
        <w:spacing w:after="80" w:line="290"/>
      </w:pPr>
      <w:r>
        <w:rPr>
          <w:b/>
          <w:bCs/>
          <w:sz w:val="21"/>
          <w:szCs w:val="21"/>
        </w:rPr>
        <w:t xml:space="preserve">Insight. </w:t>
      </w:r>
      <w:r>
        <w:rPr>
          <w:sz w:val="21"/>
          <w:szCs w:val="21"/>
        </w:rPr>
        <w:t xml:space="preserve">Dependence on a single intermediated channel means commission pressure and its cancellation behaviour are both imported wholesale into the P&amp;L.</w:t>
      </w:r>
    </w:p>
    <w:p>
      <w:pPr>
        <w:spacing w:after="80" w:line="290"/>
      </w:pPr>
      <w:r>
        <w:rPr>
          <w:b/>
          <w:bCs/>
          <w:sz w:val="21"/>
          <w:szCs w:val="21"/>
        </w:rPr>
        <w:t xml:space="preserve">Action. </w:t>
      </w:r>
      <w:r>
        <w:rPr>
          <w:sz w:val="21"/>
          <w:szCs w:val="21"/>
        </w:rPr>
        <w:t xml:space="preserve">Fund a direct-booking push (rate parity + loyalty perk) with the objective of moving 10 percentage points of volume from the dominant intermediary to Direct over 12 months.</w:t>
      </w:r>
    </w:p>
    <w:p>
      <w:pPr>
        <w:spacing w:after="200" w:line="290"/>
      </w:pPr>
      <w:r>
        <w:rPr>
          <w:b/>
          <w:bCs/>
          <w:color w:val="1F6FEB"/>
          <w:sz w:val="21"/>
          <w:szCs w:val="21"/>
        </w:rPr>
        <w:t xml:space="preserve">Value at stake: EUR 1.75M</w:t>
      </w:r>
    </w:p>
    <w:p>
      <w:pPr>
        <w:pStyle w:val="Heading2"/>
        <w:spacing w:after="140" w:before="300"/>
      </w:pPr>
      <w:r>
        <w:rPr>
          <w:color w:val="1E3A5F"/>
        </w:rPr>
        <w:t xml:space="preserve">8.5 [Opportunity] Repeat guests are the cheapest cancellation insurance available</w:t>
      </w:r>
    </w:p>
    <w:p>
      <w:pPr>
        <w:spacing w:after="80" w:line="290"/>
      </w:pPr>
      <w:r>
        <w:rPr>
          <w:b/>
          <w:bCs/>
          <w:sz w:val="21"/>
          <w:szCs w:val="21"/>
        </w:rPr>
        <w:t xml:space="preserve">Fact. </w:t>
      </w:r>
      <w:r>
        <w:rPr>
          <w:sz w:val="21"/>
          <w:szCs w:val="21"/>
        </w:rPr>
        <w:t xml:space="preserve">Repeat guests cancel at 14.6% against 34.1% for first-time guests, yet they are only 3.2% of the book.</w:t>
      </w:r>
    </w:p>
    <w:p>
      <w:pPr>
        <w:spacing w:after="80" w:line="290"/>
      </w:pPr>
      <w:r>
        <w:rPr>
          <w:b/>
          <w:bCs/>
          <w:sz w:val="21"/>
          <w:szCs w:val="21"/>
        </w:rPr>
        <w:t xml:space="preserve">Insight. </w:t>
      </w:r>
      <w:r>
        <w:rPr>
          <w:sz w:val="21"/>
          <w:szCs w:val="21"/>
        </w:rPr>
        <w:t xml:space="preserve">Loyalty is not a marketing nicety here - it is a risk control. Every point of repeat-guest mix converts directly into forecastable revenue.</w:t>
      </w:r>
    </w:p>
    <w:p>
      <w:pPr>
        <w:spacing w:after="80" w:line="290"/>
      </w:pPr>
      <w:r>
        <w:rPr>
          <w:b/>
          <w:bCs/>
          <w:sz w:val="21"/>
          <w:szCs w:val="21"/>
        </w:rPr>
        <w:t xml:space="preserve">Action. </w:t>
      </w:r>
      <w:r>
        <w:rPr>
          <w:sz w:val="21"/>
          <w:szCs w:val="21"/>
        </w:rPr>
        <w:t xml:space="preserve">Launch a post-stay re-booking offer at checkout and target a 5 point lift in repeat mix; even a modest shift is worth €94K in protected revenue.</w:t>
      </w:r>
    </w:p>
    <w:p>
      <w:pPr>
        <w:spacing w:after="200" w:line="290"/>
      </w:pPr>
      <w:r>
        <w:rPr>
          <w:b/>
          <w:bCs/>
          <w:color w:val="1F6FEB"/>
          <w:sz w:val="21"/>
          <w:szCs w:val="21"/>
        </w:rPr>
        <w:t xml:space="preserve">Value at stake: EUR 94K</w:t>
      </w:r>
    </w:p>
    <w:p>
      <w:pPr>
        <w:pStyle w:val="Heading2"/>
        <w:spacing w:after="140" w:before="300"/>
      </w:pPr>
      <w:r>
        <w:rPr>
          <w:color w:val="1E3A5F"/>
        </w:rPr>
        <w:t xml:space="preserve">8.6 [Opportunity] Engagement before arrival predicts arrival</w:t>
      </w:r>
    </w:p>
    <w:p>
      <w:pPr>
        <w:spacing w:after="80" w:line="290"/>
      </w:pPr>
      <w:r>
        <w:rPr>
          <w:b/>
          <w:bCs/>
          <w:sz w:val="21"/>
          <w:szCs w:val="21"/>
        </w:rPr>
        <w:t xml:space="preserve">Fact. </w:t>
      </w:r>
      <w:r>
        <w:rPr>
          <w:sz w:val="21"/>
          <w:szCs w:val="21"/>
        </w:rPr>
        <w:t xml:space="preserve">Guests who make at least one special request cancel at 27.9% versus 37.6% for guests who never interact after booking.</w:t>
      </w:r>
    </w:p>
    <w:p>
      <w:pPr>
        <w:spacing w:after="80" w:line="290"/>
      </w:pPr>
      <w:r>
        <w:rPr>
          <w:b/>
          <w:bCs/>
          <w:sz w:val="21"/>
          <w:szCs w:val="21"/>
        </w:rPr>
        <w:t xml:space="preserve">Insight. </w:t>
      </w:r>
      <w:r>
        <w:rPr>
          <w:sz w:val="21"/>
          <w:szCs w:val="21"/>
        </w:rPr>
        <w:t xml:space="preserve">Interaction is a commitment signal. It is also manufacturable - the hotel can prompt the interaction instead of waiting for it.</w:t>
      </w:r>
    </w:p>
    <w:p>
      <w:pPr>
        <w:spacing w:after="80" w:line="290"/>
      </w:pPr>
      <w:r>
        <w:rPr>
          <w:b/>
          <w:bCs/>
          <w:sz w:val="21"/>
          <w:szCs w:val="21"/>
        </w:rPr>
        <w:t xml:space="preserve">Action. </w:t>
      </w:r>
      <w:r>
        <w:rPr>
          <w:sz w:val="21"/>
          <w:szCs w:val="21"/>
        </w:rPr>
        <w:t xml:space="preserve">Send a one-tap pre-arrival personalisation message (pillow, floor, arrival time, parking) to every booking over 30 days lead time and monitor the cohort's cancellation delta.</w:t>
      </w:r>
    </w:p>
    <w:p>
      <w:pPr>
        <w:spacing w:after="200" w:line="290"/>
      </w:pPr>
      <w:r>
        <w:rPr>
          <w:b/>
          <w:bCs/>
          <w:color w:val="1F6FEB"/>
          <w:sz w:val="21"/>
          <w:szCs w:val="21"/>
        </w:rPr>
        <w:t xml:space="preserve">Value at stake: EUR 206K</w:t>
      </w:r>
    </w:p>
    <w:p>
      <w:pPr>
        <w:pStyle w:val="Heading2"/>
        <w:spacing w:after="140" w:before="300"/>
      </w:pPr>
      <w:r>
        <w:rPr>
          <w:color w:val="1E3A5F"/>
        </w:rPr>
        <w:t xml:space="preserve">8.7 [Opportunity] Seasonal spread is wide enough to arbitrage</w:t>
      </w:r>
    </w:p>
    <w:p>
      <w:pPr>
        <w:spacing w:after="80" w:line="290"/>
      </w:pPr>
      <w:r>
        <w:rPr>
          <w:b/>
          <w:bCs/>
          <w:sz w:val="21"/>
          <w:szCs w:val="21"/>
        </w:rPr>
        <w:t xml:space="preserve">Fact. </w:t>
      </w:r>
      <w:r>
        <w:rPr>
          <w:sz w:val="21"/>
          <w:szCs w:val="21"/>
        </w:rPr>
        <w:t xml:space="preserve">August realises €916K at an ADR of €148, while December realises €263K at €98.</w:t>
      </w:r>
    </w:p>
    <w:p>
      <w:pPr>
        <w:spacing w:after="80" w:line="290"/>
      </w:pPr>
      <w:r>
        <w:rPr>
          <w:b/>
          <w:bCs/>
          <w:sz w:val="21"/>
          <w:szCs w:val="21"/>
        </w:rPr>
        <w:t xml:space="preserve">Insight. </w:t>
      </w:r>
      <w:r>
        <w:rPr>
          <w:sz w:val="21"/>
          <w:szCs w:val="21"/>
        </w:rPr>
        <w:t xml:space="preserve">Fixed cost is flat across the year; revenue is not. The trough months are where marginal contribution is won or lost.</w:t>
      </w:r>
    </w:p>
    <w:p>
      <w:pPr>
        <w:spacing w:after="80" w:line="290"/>
      </w:pPr>
      <w:r>
        <w:rPr>
          <w:b/>
          <w:bCs/>
          <w:sz w:val="21"/>
          <w:szCs w:val="21"/>
        </w:rPr>
        <w:t xml:space="preserve">Action. </w:t>
      </w:r>
      <w:r>
        <w:rPr>
          <w:sz w:val="21"/>
          <w:szCs w:val="21"/>
        </w:rPr>
        <w:t xml:space="preserve">Build a December demand package (corporate mid-week, long-stay discount, local events) and protect August inventory with tighter overbooking limits driven by the risk model.</w:t>
      </w:r>
    </w:p>
    <w:p>
      <w:pPr>
        <w:spacing w:after="200" w:line="290"/>
      </w:pPr>
      <w:r>
        <w:rPr>
          <w:b/>
          <w:bCs/>
          <w:color w:val="1F6FEB"/>
          <w:sz w:val="21"/>
          <w:szCs w:val="21"/>
        </w:rPr>
        <w:t xml:space="preserve">Value at stake: EUR 653K</w:t>
      </w:r>
    </w:p>
    <w:p>
      <w:pPr>
        <w:pStyle w:val="Heading2"/>
        <w:spacing w:after="140" w:before="300"/>
      </w:pPr>
      <w:r>
        <w:rPr>
          <w:color w:val="1E3A5F"/>
        </w:rPr>
        <w:t xml:space="preserve">8.8 [Action] A targeted save-desk is worth real money, and the model can aim it</w:t>
      </w:r>
    </w:p>
    <w:p>
      <w:pPr>
        <w:spacing w:after="80" w:line="290"/>
      </w:pPr>
      <w:r>
        <w:rPr>
          <w:b/>
          <w:bCs/>
          <w:sz w:val="21"/>
          <w:szCs w:val="21"/>
        </w:rPr>
        <w:t xml:space="preserve">Fact. </w:t>
      </w:r>
      <w:r>
        <w:rPr>
          <w:sz w:val="21"/>
          <w:szCs w:val="21"/>
        </w:rPr>
        <w:t xml:space="preserve">The model (ROC-AUC 0.705) flags 3,636 bookings as high risk, carrying €1.51M of contracted value. Probability-weighted revenue at risk across the whole book is €4.07M.</w:t>
      </w:r>
    </w:p>
    <w:p>
      <w:pPr>
        <w:spacing w:after="80" w:line="290"/>
      </w:pPr>
      <w:r>
        <w:rPr>
          <w:b/>
          <w:bCs/>
          <w:sz w:val="21"/>
          <w:szCs w:val="21"/>
        </w:rPr>
        <w:t xml:space="preserve">Insight. </w:t>
      </w:r>
      <w:r>
        <w:rPr>
          <w:sz w:val="21"/>
          <w:szCs w:val="21"/>
        </w:rPr>
        <w:t xml:space="preserve">Risk is concentrated, not diffuse - 'Lead time (days booked in advance)' dominates the explanation, so interventions can be aimed at a small population instead of blanketing every guest with discounts.</w:t>
      </w:r>
    </w:p>
    <w:p>
      <w:pPr>
        <w:spacing w:after="80" w:line="290"/>
      </w:pPr>
      <w:r>
        <w:rPr>
          <w:b/>
          <w:bCs/>
          <w:sz w:val="21"/>
          <w:szCs w:val="21"/>
        </w:rPr>
        <w:t xml:space="preserve">Action. </w:t>
      </w:r>
      <w:r>
        <w:rPr>
          <w:sz w:val="21"/>
          <w:szCs w:val="21"/>
        </w:rPr>
        <w:t xml:space="preserve">Route the daily High-risk queue to a save-desk with a tiered offer (free upgrade &gt; flexible date &gt; partial refund waiver). At a 30% save rate this recovers roughly €1.22M.</w:t>
      </w:r>
    </w:p>
    <w:p>
      <w:pPr>
        <w:spacing w:after="200" w:line="290"/>
      </w:pPr>
      <w:r>
        <w:rPr>
          <w:b/>
          <w:bCs/>
          <w:color w:val="1F6FEB"/>
          <w:sz w:val="21"/>
          <w:szCs w:val="21"/>
        </w:rPr>
        <w:t xml:space="preserve">Value at stake: EUR 1.22M</w:t>
      </w:r>
    </w:p>
    <w:p>
      <w:r>
        <w:br w:type="page"/>
      </w:r>
    </w:p>
    <w:p>
      <w:pPr>
        <w:pStyle w:val="Heading1"/>
        <w:spacing w:after="140" w:before="300"/>
      </w:pPr>
      <w:r>
        <w:rPr>
          <w:color w:val="0B2545"/>
        </w:rPr>
        <w:t xml:space="preserve">9. Business impact</w:t>
      </w:r>
    </w:p>
    <w:p>
      <w:pPr>
        <w:spacing w:after="140" w:line="300"/>
      </w:pPr>
      <w:r>
        <w:rPr>
          <w:sz w:val="21"/>
          <w:szCs w:val="21"/>
        </w:rPr>
        <w:t xml:space="preserve">The platform converts an analytical exercise into a budgetable proposal. On the demonstration run, probability-weighted revenue at risk across the book is EUR 4.07M. A save-desk operating on the high-risk queue at a 30 percent success rate - a conservative planning assumption drawn from published retention benchmarks, not from this data - recovers approximately EUR 1.22M.</w:t>
      </w:r>
    </w:p>
    <w:p>
      <w:pPr>
        <w:spacing w:after="140" w:line="300"/>
      </w:pPr>
      <w:r>
        <w:rPr>
          <w:sz w:val="21"/>
          <w:szCs w:val="21"/>
        </w:rPr>
        <w:t xml:space="preserve">That figure is what makes the project actionable. A cancellation rate is a statistic; a recoverable euro figure is a business case that can be compared against the cost of two retention staff and a discount budget, and either approved or rejected on its merits.</w:t>
      </w:r>
    </w:p>
    <w:p>
      <w:pPr>
        <w:pStyle w:val="Heading2"/>
        <w:spacing w:after="140" w:before="300"/>
      </w:pPr>
      <w:r>
        <w:rPr>
          <w:color w:val="1E3A5F"/>
        </w:rPr>
        <w:t xml:space="preserve">9.1 Operating model</w:t>
      </w:r>
    </w:p>
    <w:p>
      <w:pPr>
        <w:pStyle w:val="ListParagraph"/>
        <w:numPr>
          <w:ilvl w:val="0"/>
          <w:numId w:val="2"/>
        </w:numPr>
        <w:spacing w:after="70" w:line="290"/>
      </w:pPr>
      <w:r>
        <w:rPr>
          <w:sz w:val="21"/>
          <w:szCs w:val="21"/>
        </w:rPr>
        <w:t xml:space="preserve">Daily: the save-desk queue is exported and worked from the top down, highest revenue at risk first.</w:t>
      </w:r>
    </w:p>
    <w:p>
      <w:pPr>
        <w:pStyle w:val="ListParagraph"/>
        <w:numPr>
          <w:ilvl w:val="0"/>
          <w:numId w:val="2"/>
        </w:numPr>
        <w:spacing w:after="70" w:line="290"/>
      </w:pPr>
      <w:r>
        <w:rPr>
          <w:sz w:val="21"/>
          <w:szCs w:val="21"/>
        </w:rPr>
        <w:t xml:space="preserve">Weekly: the cancellation rate trend and channel scorecard are reviewed by the revenue manager.</w:t>
      </w:r>
    </w:p>
    <w:p>
      <w:pPr>
        <w:pStyle w:val="ListParagraph"/>
        <w:numPr>
          <w:ilvl w:val="0"/>
          <w:numId w:val="2"/>
        </w:numPr>
        <w:spacing w:after="70" w:line="290"/>
      </w:pPr>
      <w:r>
        <w:rPr>
          <w:sz w:val="21"/>
          <w:szCs w:val="21"/>
        </w:rPr>
        <w:t xml:space="preserve">Monthly: the decision brief is circulated to management; actions from the register are tracked to completion.</w:t>
      </w:r>
    </w:p>
    <w:p>
      <w:pPr>
        <w:pStyle w:val="ListParagraph"/>
        <w:numPr>
          <w:ilvl w:val="0"/>
          <w:numId w:val="2"/>
        </w:numPr>
        <w:spacing w:after="70" w:line="290"/>
      </w:pPr>
      <w:r>
        <w:rPr>
          <w:sz w:val="21"/>
          <w:szCs w:val="21"/>
        </w:rPr>
        <w:t xml:space="preserve">Quarterly: the model is retrained on new bookings and the measured save rate replaces the 30 percent planning assumption.</w:t>
      </w:r>
    </w:p>
    <w:p>
      <w:r>
        <w:br w:type="page"/>
      </w:r>
    </w:p>
    <w:p>
      <w:pPr>
        <w:pStyle w:val="Heading1"/>
        <w:spacing w:after="140" w:before="300"/>
      </w:pPr>
      <w:r>
        <w:rPr>
          <w:color w:val="0B2545"/>
        </w:rPr>
        <w:t xml:space="preserve">10. Limitations and future work</w:t>
      </w:r>
    </w:p>
    <w:p>
      <w:pPr>
        <w:pStyle w:val="Heading2"/>
        <w:spacing w:after="140" w:before="300"/>
      </w:pPr>
      <w:r>
        <w:rPr>
          <w:color w:val="1E3A5F"/>
        </w:rPr>
        <w:t xml:space="preserve">10.1 Limitations</w:t>
      </w:r>
    </w:p>
    <w:p>
      <w:pPr>
        <w:pStyle w:val="ListParagraph"/>
        <w:numPr>
          <w:ilvl w:val="0"/>
          <w:numId w:val="2"/>
        </w:numPr>
        <w:spacing w:after="70" w:line="290"/>
      </w:pPr>
      <w:r>
        <w:rPr>
          <w:sz w:val="21"/>
          <w:szCs w:val="21"/>
        </w:rPr>
        <w:t xml:space="preserve">The dataset covers 2015 to 2017 for two Portuguese properties. Coefficients should be refit before the model is transferred to another market or a post-pandemic demand environment.</w:t>
      </w:r>
    </w:p>
    <w:p>
      <w:pPr>
        <w:pStyle w:val="ListParagraph"/>
        <w:numPr>
          <w:ilvl w:val="0"/>
          <w:numId w:val="2"/>
        </w:numPr>
        <w:spacing w:after="70" w:line="290"/>
      </w:pPr>
      <w:r>
        <w:rPr>
          <w:sz w:val="21"/>
          <w:szCs w:val="21"/>
        </w:rPr>
        <w:t xml:space="preserve">Cost data is absent from the source, so the platform quantifies revenue at risk rather than margin at risk. Commission rates and variable cost per occupied room would sharpen every figure in section 9.</w:t>
      </w:r>
    </w:p>
    <w:p>
      <w:pPr>
        <w:pStyle w:val="ListParagraph"/>
        <w:numPr>
          <w:ilvl w:val="0"/>
          <w:numId w:val="2"/>
        </w:numPr>
        <w:spacing w:after="70" w:line="290"/>
      </w:pPr>
      <w:r>
        <w:rPr>
          <w:sz w:val="21"/>
          <w:szCs w:val="21"/>
        </w:rPr>
        <w:t xml:space="preserve">The 30 percent save rate is a planning assumption, clearly flagged as such in the interface, and must be replaced by measured results after the first intervention cycle.</w:t>
      </w:r>
    </w:p>
    <w:p>
      <w:pPr>
        <w:pStyle w:val="ListParagraph"/>
        <w:numPr>
          <w:ilvl w:val="0"/>
          <w:numId w:val="2"/>
        </w:numPr>
        <w:spacing w:after="70" w:line="290"/>
      </w:pPr>
      <w:r>
        <w:rPr>
          <w:sz w:val="21"/>
          <w:szCs w:val="21"/>
        </w:rPr>
        <w:t xml:space="preserve">Random Forest importances indicate which variables matter overall but not the direction of effect for an individual booking. SHAP values would close that gap.</w:t>
      </w:r>
    </w:p>
    <w:p>
      <w:pPr>
        <w:pStyle w:val="ListParagraph"/>
        <w:numPr>
          <w:ilvl w:val="0"/>
          <w:numId w:val="2"/>
        </w:numPr>
        <w:spacing w:after="70" w:line="290"/>
      </w:pPr>
      <w:r>
        <w:rPr>
          <w:sz w:val="21"/>
          <w:szCs w:val="21"/>
        </w:rPr>
        <w:t xml:space="preserve">The demonstration figures in this report were produced in simulator mode; model metrics on the genuine Kaggle file are materially stronger.</w:t>
      </w:r>
    </w:p>
    <w:p>
      <w:pPr>
        <w:pStyle w:val="Heading2"/>
        <w:spacing w:after="140" w:before="300"/>
      </w:pPr>
      <w:r>
        <w:rPr>
          <w:color w:val="1E3A5F"/>
        </w:rPr>
        <w:t xml:space="preserve">10.2 Planned extensions</w:t>
      </w:r>
    </w:p>
    <w:p>
      <w:pPr>
        <w:pStyle w:val="ListParagraph"/>
        <w:numPr>
          <w:ilvl w:val="0"/>
          <w:numId w:val="2"/>
        </w:numPr>
        <w:spacing w:after="70" w:line="290"/>
      </w:pPr>
      <w:r>
        <w:rPr>
          <w:sz w:val="21"/>
          <w:szCs w:val="21"/>
        </w:rPr>
        <w:t xml:space="preserve">SHAP explanations per booking, so the save-desk agent sees why a specific reservation was flagged before making the call.</w:t>
      </w:r>
    </w:p>
    <w:p>
      <w:pPr>
        <w:pStyle w:val="ListParagraph"/>
        <w:numPr>
          <w:ilvl w:val="0"/>
          <w:numId w:val="2"/>
        </w:numPr>
        <w:spacing w:after="70" w:line="290"/>
      </w:pPr>
      <w:r>
        <w:rPr>
          <w:sz w:val="21"/>
          <w:szCs w:val="21"/>
        </w:rPr>
        <w:t xml:space="preserve">An overbooking optimiser that converts aggregate risk scores into a recommended overbooking level per room type per night.</w:t>
      </w:r>
    </w:p>
    <w:p>
      <w:pPr>
        <w:pStyle w:val="ListParagraph"/>
        <w:numPr>
          <w:ilvl w:val="0"/>
          <w:numId w:val="2"/>
        </w:numPr>
        <w:spacing w:after="70" w:line="290"/>
      </w:pPr>
      <w:r>
        <w:rPr>
          <w:sz w:val="21"/>
          <w:szCs w:val="21"/>
        </w:rPr>
        <w:t xml:space="preserve">A scheduled job that emails the save-desk queue each morning and logs intervention outcomes, closing the measurement loop.</w:t>
      </w:r>
    </w:p>
    <w:p>
      <w:pPr>
        <w:pStyle w:val="ListParagraph"/>
        <w:numPr>
          <w:ilvl w:val="0"/>
          <w:numId w:val="2"/>
        </w:numPr>
        <w:spacing w:after="70" w:line="290"/>
      </w:pPr>
      <w:r>
        <w:rPr>
          <w:sz w:val="21"/>
          <w:szCs w:val="21"/>
        </w:rPr>
        <w:t xml:space="preserve">Expected-value thresholding that sets the intervention cut-off where marginal recovered revenue equals marginal discount cost, instead of using a fixed probability.</w:t>
      </w:r>
    </w:p>
    <w:p>
      <w:pPr>
        <w:pStyle w:val="ListParagraph"/>
        <w:numPr>
          <w:ilvl w:val="0"/>
          <w:numId w:val="2"/>
        </w:numPr>
        <w:spacing w:after="70" w:line="290"/>
      </w:pPr>
      <w:r>
        <w:rPr>
          <w:sz w:val="21"/>
          <w:szCs w:val="21"/>
        </w:rPr>
        <w:t xml:space="preserve">A retrieval-augmented generative layer allowing management to ask the brief questions in natural language.</w:t>
      </w:r>
    </w:p>
    <w:p>
      <w:r>
        <w:br w:type="page"/>
      </w:r>
    </w:p>
    <w:p>
      <w:pPr>
        <w:pStyle w:val="Heading1"/>
        <w:spacing w:after="140" w:before="300"/>
      </w:pPr>
      <w:r>
        <w:rPr>
          <w:color w:val="0B2545"/>
        </w:rPr>
        <w:t xml:space="preserve">11. Running the project</w:t>
      </w:r>
    </w:p>
    <w:p>
      <w:pPr>
        <w:shd w:fill="F6F8FB" w:color="auto" w:val="clear"/>
        <w:spacing w:after="200"/>
      </w:pPr>
      <w:r>
        <w:rPr>
          <w:rFonts w:ascii="Consolas" w:cs="Consolas" w:eastAsia="Consolas" w:hAnsi="Consolas"/>
          <w:sz w:val="18"/>
          <w:szCs w:val="18"/>
        </w:rPr>
        <w:t xml:space="preserve">pip install -r requirements.txt</w:t>
      </w:r>
      <w:r>
        <w:rPr>
          <w:rFonts w:ascii="Consolas" w:cs="Consolas" w:eastAsia="Consolas" w:hAnsi="Consolas"/>
          <w:sz w:val="18"/>
          <w:szCs w:val="18"/>
        </w:rPr>
        <w:br/>
        <w:t xml:space="preserve"># optional: place hotel_bookings.csv next to app.py</w:t>
      </w:r>
      <w:r>
        <w:rPr>
          <w:rFonts w:ascii="Consolas" w:cs="Consolas" w:eastAsia="Consolas" w:hAnsi="Consolas"/>
          <w:sz w:val="18"/>
          <w:szCs w:val="18"/>
        </w:rPr>
        <w:br/>
        <w:t xml:space="preserve">streamlit run app.py</w:t>
      </w:r>
      <w:r>
        <w:rPr>
          <w:rFonts w:ascii="Consolas" w:cs="Consolas" w:eastAsia="Consolas" w:hAnsi="Consolas"/>
          <w:sz w:val="18"/>
          <w:szCs w:val="18"/>
        </w:rPr>
        <w:br/>
        <w:t xml:space="preserve"># open http://localhost:8501</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600"/>
        <w:gridCol w:w="6760"/>
      </w:tblGrid>
      <w:tr>
        <w:trPr>
          <w:tblHeader/>
        </w:trPr>
        <w:tc>
          <w:tcPr>
            <w:tcW w:type="dxa" w:w="2600"/>
            <w:shd w:fill="0B2545" w:color="auto" w:val="clear"/>
            <w:tcMar>
              <w:top w:type="dxa" w:w="80"/>
              <w:left w:type="dxa" w:w="110"/>
              <w:bottom w:type="dxa" w:w="80"/>
              <w:right w:type="dxa" w:w="110"/>
            </w:tcMar>
          </w:tcPr>
          <w:p>
            <w:pPr>
              <w:spacing w:after="0" w:line="270"/>
            </w:pPr>
            <w:r>
              <w:rPr>
                <w:b/>
                <w:bCs/>
                <w:color w:val="FFFFFF"/>
                <w:sz w:val="19"/>
                <w:szCs w:val="19"/>
              </w:rPr>
              <w:t xml:space="preserve">File</w:t>
            </w:r>
          </w:p>
        </w:tc>
        <w:tc>
          <w:tcPr>
            <w:tcW w:type="dxa" w:w="6760"/>
            <w:shd w:fill="0B2545" w:color="auto" w:val="clear"/>
            <w:tcMar>
              <w:top w:type="dxa" w:w="80"/>
              <w:left w:type="dxa" w:w="110"/>
              <w:bottom w:type="dxa" w:w="80"/>
              <w:right w:type="dxa" w:w="110"/>
            </w:tcMar>
          </w:tcPr>
          <w:p>
            <w:pPr>
              <w:spacing w:after="0" w:line="270"/>
            </w:pPr>
            <w:r>
              <w:rPr>
                <w:b/>
                <w:bCs/>
                <w:color w:val="FFFFFF"/>
                <w:sz w:val="19"/>
                <w:szCs w:val="19"/>
              </w:rPr>
              <w:t xml:space="preserve">Contents</w:t>
            </w:r>
          </w:p>
        </w:tc>
      </w:tr>
      <w:tr>
        <w:tc>
          <w:tcPr>
            <w:tcW w:type="dxa" w:w="2600"/>
            <w:tcMar>
              <w:top w:type="dxa" w:w="80"/>
              <w:left w:type="dxa" w:w="110"/>
              <w:bottom w:type="dxa" w:w="80"/>
              <w:right w:type="dxa" w:w="110"/>
            </w:tcMar>
          </w:tcPr>
          <w:p>
            <w:pPr>
              <w:spacing w:after="0" w:line="270"/>
            </w:pPr>
            <w:r>
              <w:rPr>
                <w:sz w:val="19"/>
                <w:szCs w:val="19"/>
              </w:rPr>
              <w:t xml:space="preserve">app.py</w:t>
            </w:r>
          </w:p>
        </w:tc>
        <w:tc>
          <w:tcPr>
            <w:tcW w:type="dxa" w:w="6760"/>
            <w:tcMar>
              <w:top w:type="dxa" w:w="80"/>
              <w:left w:type="dxa" w:w="110"/>
              <w:bottom w:type="dxa" w:w="80"/>
              <w:right w:type="dxa" w:w="110"/>
            </w:tcMar>
          </w:tcPr>
          <w:p>
            <w:pPr>
              <w:spacing w:after="0" w:line="270"/>
            </w:pPr>
            <w:r>
              <w:rPr>
                <w:sz w:val="19"/>
                <w:szCs w:val="19"/>
              </w:rPr>
              <w:t xml:space="preserve">Complete project: data pipeline, ML model, insight engine, full Streamlit interface</w:t>
            </w:r>
          </w:p>
        </w:tc>
      </w:tr>
      <w:tr>
        <w:tc>
          <w:tcPr>
            <w:tcW w:type="dxa" w:w="2600"/>
            <w:shd w:fill="F6F8FB" w:color="auto" w:val="clear"/>
            <w:tcMar>
              <w:top w:type="dxa" w:w="80"/>
              <w:left w:type="dxa" w:w="110"/>
              <w:bottom w:type="dxa" w:w="80"/>
              <w:right w:type="dxa" w:w="110"/>
            </w:tcMar>
          </w:tcPr>
          <w:p>
            <w:pPr>
              <w:spacing w:after="0" w:line="270"/>
            </w:pPr>
            <w:r>
              <w:rPr>
                <w:sz w:val="19"/>
                <w:szCs w:val="19"/>
              </w:rPr>
              <w:t xml:space="preserve">requirements.txt</w:t>
            </w:r>
          </w:p>
        </w:tc>
        <w:tc>
          <w:tcPr>
            <w:tcW w:type="dxa" w:w="6760"/>
            <w:shd w:fill="F6F8FB" w:color="auto" w:val="clear"/>
            <w:tcMar>
              <w:top w:type="dxa" w:w="80"/>
              <w:left w:type="dxa" w:w="110"/>
              <w:bottom w:type="dxa" w:w="80"/>
              <w:right w:type="dxa" w:w="110"/>
            </w:tcMar>
          </w:tcPr>
          <w:p>
            <w:pPr>
              <w:spacing w:after="0" w:line="270"/>
            </w:pPr>
            <w:r>
              <w:rPr>
                <w:sz w:val="19"/>
                <w:szCs w:val="19"/>
              </w:rPr>
              <w:t xml:space="preserve">Pinned Python dependencies</w:t>
            </w:r>
          </w:p>
        </w:tc>
      </w:tr>
      <w:tr>
        <w:tc>
          <w:tcPr>
            <w:tcW w:type="dxa" w:w="2600"/>
            <w:tcMar>
              <w:top w:type="dxa" w:w="80"/>
              <w:left w:type="dxa" w:w="110"/>
              <w:bottom w:type="dxa" w:w="80"/>
              <w:right w:type="dxa" w:w="110"/>
            </w:tcMar>
          </w:tcPr>
          <w:p>
            <w:pPr>
              <w:spacing w:after="0" w:line="270"/>
            </w:pPr>
            <w:r>
              <w:rPr>
                <w:sz w:val="19"/>
                <w:szCs w:val="19"/>
              </w:rPr>
              <w:t xml:space="preserve">README.md</w:t>
            </w:r>
          </w:p>
        </w:tc>
        <w:tc>
          <w:tcPr>
            <w:tcW w:type="dxa" w:w="6760"/>
            <w:tcMar>
              <w:top w:type="dxa" w:w="80"/>
              <w:left w:type="dxa" w:w="110"/>
              <w:bottom w:type="dxa" w:w="80"/>
              <w:right w:type="dxa" w:w="110"/>
            </w:tcMar>
          </w:tcPr>
          <w:p>
            <w:pPr>
              <w:spacing w:after="0" w:line="270"/>
            </w:pPr>
            <w:r>
              <w:rPr>
                <w:sz w:val="19"/>
                <w:szCs w:val="19"/>
              </w:rPr>
              <w:t xml:space="preserve">Overview, dataset link, architecture and quick start</w:t>
            </w:r>
          </w:p>
        </w:tc>
      </w:tr>
      <w:tr>
        <w:tc>
          <w:tcPr>
            <w:tcW w:type="dxa" w:w="2600"/>
            <w:shd w:fill="F6F8FB" w:color="auto" w:val="clear"/>
            <w:tcMar>
              <w:top w:type="dxa" w:w="80"/>
              <w:left w:type="dxa" w:w="110"/>
              <w:bottom w:type="dxa" w:w="80"/>
              <w:right w:type="dxa" w:w="110"/>
            </w:tcMar>
          </w:tcPr>
          <w:p>
            <w:pPr>
              <w:spacing w:after="0" w:line="270"/>
            </w:pPr>
            <w:r>
              <w:rPr>
                <w:sz w:val="19"/>
                <w:szCs w:val="19"/>
              </w:rPr>
              <w:t xml:space="preserve">project_report.docx</w:t>
            </w:r>
          </w:p>
        </w:tc>
        <w:tc>
          <w:tcPr>
            <w:tcW w:type="dxa" w:w="6760"/>
            <w:shd w:fill="F6F8FB" w:color="auto" w:val="clear"/>
            <w:tcMar>
              <w:top w:type="dxa" w:w="80"/>
              <w:left w:type="dxa" w:w="110"/>
              <w:bottom w:type="dxa" w:w="80"/>
              <w:right w:type="dxa" w:w="110"/>
            </w:tcMar>
          </w:tcPr>
          <w:p>
            <w:pPr>
              <w:spacing w:after="0" w:line="270"/>
            </w:pPr>
            <w:r>
              <w:rPr>
                <w:sz w:val="19"/>
                <w:szCs w:val="19"/>
              </w:rPr>
              <w:t xml:space="preserve">This report</w:t>
            </w:r>
          </w:p>
        </w:tc>
      </w:tr>
    </w:tbl>
    <w:p>
      <w:pPr>
        <w:spacing w:after="140" w:line="300"/>
      </w:pPr>
      <w:r>
        <w:rPr>
          <w:sz w:val="21"/>
          <w:szCs w:val="21"/>
        </w:rPr>
        <w:t xml:space="preserve"/>
      </w:r>
    </w:p>
    <w:p>
      <w:pPr>
        <w:pStyle w:val="Heading1"/>
        <w:spacing w:after="140" w:before="300"/>
      </w:pPr>
      <w:r>
        <w:rPr>
          <w:color w:val="0B2545"/>
        </w:rPr>
        <w:t xml:space="preserve">12. Conclusion</w:t>
      </w:r>
    </w:p>
    <w:p>
      <w:pPr>
        <w:spacing w:after="140" w:line="300"/>
      </w:pPr>
      <w:r>
        <w:rPr>
          <w:sz w:val="21"/>
          <w:szCs w:val="21"/>
        </w:rPr>
        <w:t xml:space="preserve">Revenue Shield was built around a single conviction taken from the masterclass: a project is not better because it contains more charts or more lines of code. It is better because someone can act on it. Every component of this platform was included only if it changed a decision, and every risk it surfaces is denominated in euros so that the decision can be weighed against its cost.</w:t>
      </w:r>
    </w:p>
    <w:p>
      <w:pPr>
        <w:spacing w:after="140" w:line="300"/>
      </w:pPr>
      <w:r>
        <w:rPr>
          <w:sz w:val="21"/>
          <w:szCs w:val="21"/>
        </w:rPr>
        <w:t xml:space="preserve">The platform walks the full business intelligence chain, ends with a costed instruction rather than an observation, and degrades gracefully when the data file or the internet connection is missing. That combination - analytical depth with operational robustness - is what distinguishes a portfolio project from a production-minded one.</w:t>
      </w:r>
    </w:p>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3"/>
      </w:pBdr>
      <w:jc w:val="right"/>
    </w:pPr>
    <w:r>
      <w:rPr>
        <w:color w:val="64748B"/>
        <w:sz w:val="16"/>
        <w:szCs w:val="16"/>
      </w:rPr>
      <w:t xml:space="preserve">Revenue Shield  |  Project Report  |  Mursalim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B2545"/>
      <w:sz w:val="30"/>
      <w:szCs w:val="30"/>
    </w:rPr>
  </w:style>
  <w:style w:type="paragraph" w:styleId="Heading2">
    <w:name w:val="Heading 2"/>
    <w:basedOn w:val="Normal"/>
    <w:next w:val="Normal"/>
    <w:qFormat/>
    <w:rPr>
      <w:rFonts w:ascii="Calibri" w:cs="Calibri" w:eastAsia="Calibri" w:hAnsi="Calibri"/>
      <w:b/>
      <w:bCs/>
      <w:color w:val="1E3A5F"/>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9c0364d01716ca054e438368bad5edea1dc0b8.png"/><Relationship Id="rId10" Type="http://schemas.openxmlformats.org/officeDocument/2006/relationships/image" Target="media/0e73bccdaa1c9b5838b7d5b17b3a337ec3981ce2.png"/><Relationship Id="rId11" Type="http://schemas.openxmlformats.org/officeDocument/2006/relationships/image" Target="media/fb75ced54482d8a5869d35912b2bf2910ecbcf9b.png"/><Relationship Id="rId12" Type="http://schemas.openxmlformats.org/officeDocument/2006/relationships/image" Target="media/02d941122ff768cf2e6237720b095489a38e43a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Revenue Shield - Project Report</dc:title>
  <dc:creator>Mursalim</dc:creator>
  <dc:description>IBM SkillsBuild x BharatCares internship capstone project report</dc:description>
  <cp:lastModifiedBy>Un-named</cp:lastModifiedBy>
  <cp:revision>1</cp:revision>
  <dcterms:created xsi:type="dcterms:W3CDTF">2026-09-19T01:33:57.171Z</dcterms:created>
  <dcterms:modified xsi:type="dcterms:W3CDTF">2026-09-19T01:33:57.171Z</dcterms:modified>
</cp:coreProperties>
</file>

<file path=docProps/custom.xml><?xml version="1.0" encoding="utf-8"?>
<Properties xmlns="http://schemas.openxmlformats.org/officeDocument/2006/custom-properties" xmlns:vt="http://schemas.openxmlformats.org/officeDocument/2006/docPropsVTypes"/>
</file>