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4DD4DB69"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E9F66BD"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44355A45" w14:textId="77777777" w:rsidR="003436EA" w:rsidRPr="00F4162D" w:rsidRDefault="003436EA" w:rsidP="001055BC">
            <w:pPr>
              <w:rPr>
                <w:sz w:val="24"/>
                <w:szCs w:val="24"/>
              </w:rPr>
            </w:pPr>
          </w:p>
        </w:tc>
      </w:tr>
      <w:tr w:rsidR="003436EA" w:rsidRPr="00F4162D" w14:paraId="480395EE"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9F23CE2"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5D169FF6" w14:textId="77777777" w:rsidR="003436EA" w:rsidRPr="00F4162D" w:rsidRDefault="003436EA" w:rsidP="001055BC">
            <w:pPr>
              <w:rPr>
                <w:sz w:val="24"/>
                <w:szCs w:val="24"/>
              </w:rPr>
            </w:pPr>
          </w:p>
        </w:tc>
      </w:tr>
      <w:tr w:rsidR="003436EA" w:rsidRPr="00F4162D" w14:paraId="0A18AD09"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4C9BA513" w14:textId="77777777" w:rsidR="003436EA" w:rsidRPr="00F4162D" w:rsidRDefault="003436EA" w:rsidP="001055BC">
            <w:pPr>
              <w:rPr>
                <w:sz w:val="24"/>
                <w:szCs w:val="24"/>
              </w:rPr>
            </w:pPr>
          </w:p>
        </w:tc>
      </w:tr>
      <w:tr w:rsidR="003436EA" w:rsidRPr="00F4162D" w14:paraId="3F25B788"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6FB2F1A8"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3EEDAD7F" w14:textId="77777777" w:rsidR="003436EA" w:rsidRPr="00F4162D" w:rsidRDefault="003436EA" w:rsidP="001055BC">
            <w:pPr>
              <w:rPr>
                <w:sz w:val="24"/>
                <w:szCs w:val="24"/>
              </w:rPr>
            </w:pPr>
          </w:p>
        </w:tc>
      </w:tr>
      <w:tr w:rsidR="003436EA" w:rsidRPr="00F4162D" w14:paraId="4854C928"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4FEA071"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575DE631" w14:textId="77777777" w:rsidR="003436EA" w:rsidRPr="00F4162D" w:rsidRDefault="003436EA" w:rsidP="001055BC">
            <w:pPr>
              <w:rPr>
                <w:sz w:val="24"/>
                <w:szCs w:val="24"/>
              </w:rPr>
            </w:pPr>
          </w:p>
        </w:tc>
      </w:tr>
    </w:tbl>
    <w:p w14:paraId="77B5D7D3" w14:textId="77777777" w:rsidR="00420E83" w:rsidRDefault="00420E83" w:rsidP="00420E83">
      <w:pPr>
        <w:jc w:val="both"/>
        <w:rPr>
          <w:sz w:val="24"/>
          <w:szCs w:val="24"/>
        </w:rPr>
      </w:pPr>
    </w:p>
    <w:p w14:paraId="1625A0C2"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3C94E38E" w14:textId="77777777" w:rsidR="00D570FB" w:rsidRPr="007551F1" w:rsidRDefault="00D570FB" w:rsidP="003B630E">
      <w:pPr>
        <w:pStyle w:val="Footer"/>
        <w:tabs>
          <w:tab w:val="clear" w:pos="4320"/>
          <w:tab w:val="clear" w:pos="8640"/>
        </w:tabs>
        <w:jc w:val="both"/>
        <w:rPr>
          <w:b/>
          <w:sz w:val="24"/>
          <w:szCs w:val="24"/>
        </w:rPr>
      </w:pPr>
    </w:p>
    <w:p w14:paraId="36EA9774"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674E52E0" w14:textId="77777777" w:rsidTr="00B62035">
        <w:trPr>
          <w:jc w:val="center"/>
        </w:trPr>
        <w:tc>
          <w:tcPr>
            <w:tcW w:w="8793" w:type="dxa"/>
            <w:gridSpan w:val="2"/>
            <w:tcBorders>
              <w:bottom w:val="single" w:sz="4" w:space="0" w:color="auto"/>
            </w:tcBorders>
            <w:shd w:val="clear" w:color="auto" w:fill="95B3D7"/>
          </w:tcPr>
          <w:p w14:paraId="60C100F3"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7F23AAE3" w14:textId="77777777" w:rsidTr="00B62035">
        <w:trPr>
          <w:jc w:val="center"/>
        </w:trPr>
        <w:tc>
          <w:tcPr>
            <w:tcW w:w="8793" w:type="dxa"/>
            <w:gridSpan w:val="2"/>
            <w:shd w:val="clear" w:color="auto" w:fill="D9D9D9"/>
          </w:tcPr>
          <w:p w14:paraId="42CE4B18"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1BEF6938" w14:textId="77777777" w:rsidTr="00B62035">
        <w:trPr>
          <w:jc w:val="center"/>
        </w:trPr>
        <w:tc>
          <w:tcPr>
            <w:tcW w:w="1899" w:type="dxa"/>
            <w:tcBorders>
              <w:top w:val="single" w:sz="2" w:space="0" w:color="auto"/>
              <w:left w:val="single" w:sz="2" w:space="0" w:color="auto"/>
              <w:right w:val="single" w:sz="2" w:space="0" w:color="auto"/>
            </w:tcBorders>
          </w:tcPr>
          <w:p w14:paraId="165FB822"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7127B8F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64898D6" w14:textId="77777777" w:rsidTr="00B62035">
        <w:trPr>
          <w:jc w:val="center"/>
        </w:trPr>
        <w:tc>
          <w:tcPr>
            <w:tcW w:w="1899" w:type="dxa"/>
            <w:tcBorders>
              <w:left w:val="single" w:sz="2" w:space="0" w:color="auto"/>
              <w:right w:val="single" w:sz="2" w:space="0" w:color="auto"/>
            </w:tcBorders>
          </w:tcPr>
          <w:p w14:paraId="4AA4577E"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DBD67EC"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B03861C" w14:textId="77777777" w:rsidTr="00B62035">
        <w:trPr>
          <w:jc w:val="center"/>
        </w:trPr>
        <w:tc>
          <w:tcPr>
            <w:tcW w:w="1899" w:type="dxa"/>
            <w:tcBorders>
              <w:bottom w:val="single" w:sz="4" w:space="0" w:color="auto"/>
              <w:right w:val="single" w:sz="2" w:space="0" w:color="auto"/>
            </w:tcBorders>
          </w:tcPr>
          <w:p w14:paraId="2A1C03E3"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FCDF382"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14FA715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013CCFBF"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6CE185D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66DAA464"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75EAEE5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2D8E58C"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50C59E0C" w14:textId="77777777" w:rsidR="00DA6077" w:rsidRDefault="00DA6077" w:rsidP="004E3029">
      <w:pPr>
        <w:jc w:val="both"/>
        <w:rPr>
          <w:b/>
          <w:sz w:val="24"/>
          <w:szCs w:val="24"/>
        </w:rPr>
      </w:pPr>
    </w:p>
    <w:p w14:paraId="484D1FAE"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4A5E8546" w14:textId="77777777" w:rsidTr="00B62035">
        <w:trPr>
          <w:cantSplit/>
          <w:trHeight w:val="50"/>
        </w:trPr>
        <w:tc>
          <w:tcPr>
            <w:tcW w:w="1332" w:type="dxa"/>
            <w:vMerge w:val="restart"/>
            <w:shd w:val="clear" w:color="auto" w:fill="D9D9D9" w:themeFill="background1" w:themeFillShade="D9"/>
            <w:vAlign w:val="center"/>
          </w:tcPr>
          <w:p w14:paraId="51C5309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14E5537E"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3CC0C551" w14:textId="77777777" w:rsidR="00254A37" w:rsidRPr="0040764A" w:rsidRDefault="00254A37" w:rsidP="00420E83">
            <w:pPr>
              <w:jc w:val="center"/>
              <w:rPr>
                <w:sz w:val="17"/>
                <w:szCs w:val="17"/>
              </w:rPr>
            </w:pPr>
            <w:r>
              <w:rPr>
                <w:sz w:val="17"/>
                <w:szCs w:val="17"/>
              </w:rPr>
              <w:t>&lt;</w:t>
            </w:r>
            <w:hyperlink r:id="rId11" w:history="1">
              <w:r w:rsidR="00420E83" w:rsidRPr="00C13792">
                <w:rPr>
                  <w:rStyle w:val="Hyperlink"/>
                  <w:sz w:val="17"/>
                  <w:szCs w:val="17"/>
                </w:rPr>
                <w:t>link</w:t>
              </w:r>
            </w:hyperlink>
            <w:r>
              <w:rPr>
                <w:sz w:val="17"/>
                <w:szCs w:val="17"/>
              </w:rPr>
              <w:t>&gt;</w:t>
            </w:r>
          </w:p>
        </w:tc>
      </w:tr>
      <w:tr w:rsidR="00C13792" w:rsidRPr="0040764A" w14:paraId="11DEDBF0" w14:textId="77777777" w:rsidTr="00B62035">
        <w:trPr>
          <w:cantSplit/>
          <w:trHeight w:val="50"/>
        </w:trPr>
        <w:tc>
          <w:tcPr>
            <w:tcW w:w="1332" w:type="dxa"/>
            <w:vMerge/>
            <w:shd w:val="clear" w:color="auto" w:fill="D9D9D9" w:themeFill="background1" w:themeFillShade="D9"/>
            <w:vAlign w:val="center"/>
          </w:tcPr>
          <w:p w14:paraId="272BA7E5" w14:textId="77777777" w:rsidR="00C13792" w:rsidRPr="00150354" w:rsidRDefault="00C13792" w:rsidP="00C13792">
            <w:pPr>
              <w:rPr>
                <w:b/>
                <w:color w:val="000000"/>
                <w:sz w:val="23"/>
                <w:szCs w:val="23"/>
                <w:lang w:val="en-GB"/>
              </w:rPr>
            </w:pPr>
          </w:p>
        </w:tc>
        <w:tc>
          <w:tcPr>
            <w:tcW w:w="6750" w:type="dxa"/>
            <w:vAlign w:val="center"/>
          </w:tcPr>
          <w:p w14:paraId="50D4D162"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0F718A99"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41A3E573" w14:textId="77777777" w:rsidTr="00B62035">
        <w:trPr>
          <w:cantSplit/>
          <w:trHeight w:val="50"/>
        </w:trPr>
        <w:tc>
          <w:tcPr>
            <w:tcW w:w="1332" w:type="dxa"/>
            <w:vMerge/>
            <w:shd w:val="clear" w:color="auto" w:fill="D9D9D9" w:themeFill="background1" w:themeFillShade="D9"/>
            <w:vAlign w:val="center"/>
          </w:tcPr>
          <w:p w14:paraId="2DA83D30" w14:textId="77777777" w:rsidR="00C13792" w:rsidRPr="00150354" w:rsidRDefault="00C13792" w:rsidP="00C13792">
            <w:pPr>
              <w:rPr>
                <w:b/>
                <w:color w:val="000000"/>
                <w:sz w:val="23"/>
                <w:szCs w:val="23"/>
                <w:lang w:val="en-GB"/>
              </w:rPr>
            </w:pPr>
          </w:p>
        </w:tc>
        <w:tc>
          <w:tcPr>
            <w:tcW w:w="6750" w:type="dxa"/>
            <w:vAlign w:val="center"/>
          </w:tcPr>
          <w:p w14:paraId="2A401A5A"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783FC635"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r w:rsidR="00C13792" w:rsidRPr="0040764A" w14:paraId="5CB56DF0" w14:textId="77777777" w:rsidTr="00B62035">
        <w:trPr>
          <w:cantSplit/>
          <w:trHeight w:val="50"/>
        </w:trPr>
        <w:tc>
          <w:tcPr>
            <w:tcW w:w="1332" w:type="dxa"/>
            <w:vMerge/>
            <w:shd w:val="clear" w:color="auto" w:fill="D9D9D9" w:themeFill="background1" w:themeFillShade="D9"/>
            <w:vAlign w:val="center"/>
          </w:tcPr>
          <w:p w14:paraId="47A652E8" w14:textId="77777777" w:rsidR="00C13792" w:rsidRPr="00150354" w:rsidRDefault="00C13792" w:rsidP="00C13792">
            <w:pPr>
              <w:rPr>
                <w:b/>
                <w:color w:val="000000"/>
                <w:sz w:val="23"/>
                <w:szCs w:val="23"/>
                <w:lang w:val="en-GB"/>
              </w:rPr>
            </w:pPr>
          </w:p>
        </w:tc>
        <w:tc>
          <w:tcPr>
            <w:tcW w:w="6750" w:type="dxa"/>
            <w:vAlign w:val="center"/>
          </w:tcPr>
          <w:p w14:paraId="52C757DC"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44827AFF" w14:textId="77777777" w:rsidR="00C13792" w:rsidRPr="0040764A" w:rsidRDefault="00C13792" w:rsidP="00C13792">
            <w:pPr>
              <w:jc w:val="center"/>
              <w:rPr>
                <w:sz w:val="17"/>
                <w:szCs w:val="17"/>
              </w:rPr>
            </w:pPr>
            <w:r>
              <w:rPr>
                <w:sz w:val="17"/>
                <w:szCs w:val="17"/>
              </w:rPr>
              <w:t>&lt;</w:t>
            </w:r>
            <w:hyperlink r:id="rId14" w:history="1">
              <w:r w:rsidRPr="00C13792">
                <w:rPr>
                  <w:rStyle w:val="Hyperlink"/>
                  <w:sz w:val="17"/>
                  <w:szCs w:val="17"/>
                </w:rPr>
                <w:t>link</w:t>
              </w:r>
            </w:hyperlink>
            <w:r>
              <w:rPr>
                <w:sz w:val="17"/>
                <w:szCs w:val="17"/>
              </w:rPr>
              <w:t>&gt;</w:t>
            </w:r>
          </w:p>
        </w:tc>
      </w:tr>
    </w:tbl>
    <w:p w14:paraId="37478035" w14:textId="77777777" w:rsidR="00254A37" w:rsidRDefault="00254A37" w:rsidP="004E3029">
      <w:pPr>
        <w:jc w:val="both"/>
        <w:rPr>
          <w:sz w:val="17"/>
          <w:szCs w:val="17"/>
        </w:rPr>
      </w:pPr>
    </w:p>
    <w:p w14:paraId="4D0E39EF" w14:textId="77777777" w:rsidR="00D570FB" w:rsidRDefault="00D570FB" w:rsidP="00E77DEF">
      <w:pPr>
        <w:jc w:val="both"/>
        <w:rPr>
          <w:b/>
          <w:sz w:val="24"/>
          <w:szCs w:val="24"/>
        </w:rPr>
      </w:pPr>
    </w:p>
    <w:p w14:paraId="35D16702"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D6981C2"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13A3B4A3"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19340A7"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0A559DCC"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BA2AED1" w14:textId="77777777" w:rsidTr="004732DB">
        <w:trPr>
          <w:jc w:val="center"/>
        </w:trPr>
        <w:tc>
          <w:tcPr>
            <w:tcW w:w="10184" w:type="dxa"/>
            <w:gridSpan w:val="2"/>
            <w:vAlign w:val="center"/>
          </w:tcPr>
          <w:p w14:paraId="5923FA38"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54430EFC"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01E9F82B" w14:textId="77777777" w:rsidTr="004732DB">
        <w:trPr>
          <w:jc w:val="center"/>
        </w:trPr>
        <w:tc>
          <w:tcPr>
            <w:tcW w:w="1516" w:type="dxa"/>
            <w:shd w:val="clear" w:color="auto" w:fill="D9D9D9" w:themeFill="background1" w:themeFillShade="D9"/>
            <w:vAlign w:val="center"/>
          </w:tcPr>
          <w:p w14:paraId="1B195687"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36194146"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62F44A7C" w14:textId="77777777" w:rsidTr="004732DB">
        <w:trPr>
          <w:jc w:val="center"/>
        </w:trPr>
        <w:tc>
          <w:tcPr>
            <w:tcW w:w="1516" w:type="dxa"/>
            <w:vAlign w:val="center"/>
          </w:tcPr>
          <w:p w14:paraId="07E24604"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0EA4CA5F"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0818DC6A" w14:textId="77777777" w:rsidTr="004732DB">
        <w:trPr>
          <w:jc w:val="center"/>
        </w:trPr>
        <w:tc>
          <w:tcPr>
            <w:tcW w:w="1516" w:type="dxa"/>
            <w:vAlign w:val="center"/>
          </w:tcPr>
          <w:p w14:paraId="50DA598A"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63A9E73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559D2689" w14:textId="77777777" w:rsidTr="004732DB">
        <w:trPr>
          <w:jc w:val="center"/>
        </w:trPr>
        <w:tc>
          <w:tcPr>
            <w:tcW w:w="1516" w:type="dxa"/>
            <w:vAlign w:val="center"/>
          </w:tcPr>
          <w:p w14:paraId="3CCC8C66"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33003F"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AF3AF4B" w14:textId="77777777" w:rsidTr="004732DB">
        <w:trPr>
          <w:jc w:val="center"/>
        </w:trPr>
        <w:tc>
          <w:tcPr>
            <w:tcW w:w="1516" w:type="dxa"/>
            <w:vAlign w:val="center"/>
          </w:tcPr>
          <w:p w14:paraId="08DC31B6"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026BC1BA"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2AD7420D" w14:textId="77777777" w:rsidTr="004732DB">
        <w:trPr>
          <w:jc w:val="center"/>
        </w:trPr>
        <w:tc>
          <w:tcPr>
            <w:tcW w:w="1516" w:type="dxa"/>
            <w:vAlign w:val="center"/>
          </w:tcPr>
          <w:p w14:paraId="7198CF53"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0E569678"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0E4E5BA" w14:textId="77777777" w:rsidTr="004732DB">
        <w:trPr>
          <w:jc w:val="center"/>
        </w:trPr>
        <w:tc>
          <w:tcPr>
            <w:tcW w:w="1516" w:type="dxa"/>
            <w:vAlign w:val="center"/>
          </w:tcPr>
          <w:p w14:paraId="1F0DB901"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6C7F0B64"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10813A41" w14:textId="77777777" w:rsidTr="004732DB">
        <w:trPr>
          <w:jc w:val="center"/>
        </w:trPr>
        <w:tc>
          <w:tcPr>
            <w:tcW w:w="1516" w:type="dxa"/>
            <w:vAlign w:val="center"/>
          </w:tcPr>
          <w:p w14:paraId="484DE7B6"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6FBF1478"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41E61578" w14:textId="77777777" w:rsidTr="004732DB">
        <w:trPr>
          <w:jc w:val="center"/>
        </w:trPr>
        <w:tc>
          <w:tcPr>
            <w:tcW w:w="1516" w:type="dxa"/>
            <w:vAlign w:val="center"/>
          </w:tcPr>
          <w:p w14:paraId="48A4906D"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458401"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23F12489" w14:textId="77777777" w:rsidTr="004732DB">
        <w:trPr>
          <w:jc w:val="center"/>
        </w:trPr>
        <w:tc>
          <w:tcPr>
            <w:tcW w:w="1516" w:type="dxa"/>
            <w:vAlign w:val="center"/>
          </w:tcPr>
          <w:p w14:paraId="32D28738"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19A3507"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0119A8E3" w14:textId="77777777" w:rsidTr="004732DB">
        <w:trPr>
          <w:jc w:val="center"/>
        </w:trPr>
        <w:tc>
          <w:tcPr>
            <w:tcW w:w="1516" w:type="dxa"/>
            <w:vAlign w:val="center"/>
          </w:tcPr>
          <w:p w14:paraId="7513712F"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05EA1AFA"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6A81569C" w14:textId="77777777" w:rsidTr="004732DB">
        <w:trPr>
          <w:jc w:val="center"/>
        </w:trPr>
        <w:tc>
          <w:tcPr>
            <w:tcW w:w="1516" w:type="dxa"/>
            <w:vAlign w:val="center"/>
          </w:tcPr>
          <w:p w14:paraId="5070CB8E"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123DDE2E"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180714B8" w14:textId="77777777" w:rsidTr="004732DB">
        <w:trPr>
          <w:jc w:val="center"/>
        </w:trPr>
        <w:tc>
          <w:tcPr>
            <w:tcW w:w="1516" w:type="dxa"/>
            <w:vAlign w:val="center"/>
          </w:tcPr>
          <w:p w14:paraId="7EE49EF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23B2A8EB"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62B2860C" w14:textId="77777777" w:rsidR="004732DB" w:rsidRPr="00A073AC" w:rsidRDefault="004732DB">
      <w:pPr>
        <w:spacing w:after="200" w:line="276" w:lineRule="auto"/>
        <w:rPr>
          <w:b/>
          <w:bCs/>
          <w:lang w:val="en-GB"/>
        </w:rPr>
      </w:pPr>
    </w:p>
    <w:p w14:paraId="75CD64D4"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3A21D7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5D5223A4"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332E459D"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11315541" w14:textId="77777777" w:rsidR="000058C5" w:rsidRDefault="000058C5" w:rsidP="000058C5">
      <w:pPr>
        <w:ind w:left="720"/>
        <w:jc w:val="both"/>
        <w:rPr>
          <w:b/>
          <w:color w:val="000000" w:themeColor="text1"/>
          <w:sz w:val="22"/>
          <w:szCs w:val="24"/>
        </w:rPr>
      </w:pPr>
    </w:p>
    <w:p w14:paraId="2CA06173"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FC75385"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3CDBC785"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5682079E" w14:textId="77777777" w:rsidR="000058C5" w:rsidRDefault="000058C5" w:rsidP="000058C5">
      <w:pPr>
        <w:pStyle w:val="ListParagraph"/>
        <w:jc w:val="both"/>
        <w:rPr>
          <w:b/>
          <w:color w:val="000000" w:themeColor="text1"/>
          <w:sz w:val="22"/>
          <w:szCs w:val="24"/>
        </w:rPr>
      </w:pPr>
    </w:p>
    <w:p w14:paraId="556B0B1E" w14:textId="77777777" w:rsidR="000058C5" w:rsidRDefault="000058C5" w:rsidP="000058C5">
      <w:pPr>
        <w:ind w:left="360"/>
        <w:jc w:val="both"/>
        <w:rPr>
          <w:b/>
          <w:color w:val="000000" w:themeColor="text1"/>
          <w:sz w:val="22"/>
          <w:szCs w:val="24"/>
        </w:rPr>
      </w:pPr>
    </w:p>
    <w:p w14:paraId="06966C1F" w14:textId="77777777" w:rsidR="000058C5" w:rsidRPr="00B331C7" w:rsidRDefault="000058C5" w:rsidP="000058C5">
      <w:pPr>
        <w:ind w:left="360"/>
        <w:jc w:val="both"/>
        <w:rPr>
          <w:b/>
          <w:color w:val="000000" w:themeColor="text1"/>
          <w:sz w:val="22"/>
          <w:szCs w:val="24"/>
        </w:rPr>
      </w:pPr>
    </w:p>
    <w:p w14:paraId="53BE9C28" w14:textId="77777777" w:rsidR="000058C5" w:rsidRDefault="000058C5">
      <w:pPr>
        <w:spacing w:after="200" w:line="276" w:lineRule="auto"/>
        <w:rPr>
          <w:b/>
          <w:bCs/>
          <w:sz w:val="44"/>
          <w:szCs w:val="44"/>
          <w:lang w:val="en-GB"/>
        </w:rPr>
      </w:pPr>
      <w:r>
        <w:rPr>
          <w:b/>
          <w:bCs/>
          <w:sz w:val="44"/>
          <w:szCs w:val="44"/>
          <w:lang w:val="en-GB"/>
        </w:rPr>
        <w:br w:type="page"/>
      </w:r>
    </w:p>
    <w:p w14:paraId="52797B8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1984D172"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B171187"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1763CF5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330B733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0853B6" w14:textId="6D04C7A7" w:rsidR="00A729B9" w:rsidRPr="001F17F6" w:rsidRDefault="00C46532" w:rsidP="00A729B9">
            <w:pPr>
              <w:jc w:val="center"/>
              <w:rPr>
                <w:b/>
                <w:sz w:val="18"/>
                <w:szCs w:val="18"/>
                <w:lang w:val="en-GB"/>
              </w:rPr>
            </w:pPr>
            <w:r>
              <w:rPr>
                <w:b/>
                <w:sz w:val="18"/>
                <w:szCs w:val="18"/>
                <w:lang w:val="en-GB"/>
              </w:rPr>
              <w:t>Link</w:t>
            </w:r>
            <w:r w:rsidR="005E3551">
              <w:rPr>
                <w:b/>
                <w:sz w:val="18"/>
                <w:szCs w:val="18"/>
                <w:lang w:val="en-GB"/>
              </w:rPr>
              <w:t xml:space="preserve"> Test Cases</w:t>
            </w:r>
          </w:p>
        </w:tc>
        <w:tc>
          <w:tcPr>
            <w:tcW w:w="3543" w:type="dxa"/>
            <w:tcBorders>
              <w:bottom w:val="single" w:sz="4" w:space="0" w:color="auto"/>
            </w:tcBorders>
            <w:shd w:val="clear" w:color="auto" w:fill="D9D9D9" w:themeFill="background1" w:themeFillShade="D9"/>
            <w:vAlign w:val="center"/>
          </w:tcPr>
          <w:p w14:paraId="2D806E12" w14:textId="77777777" w:rsidR="00A729B9" w:rsidRPr="001F17F6" w:rsidRDefault="00A729B9" w:rsidP="00A729B9">
            <w:pPr>
              <w:jc w:val="center"/>
              <w:rPr>
                <w:b/>
                <w:sz w:val="18"/>
                <w:szCs w:val="18"/>
                <w:lang w:val="en-GB"/>
              </w:rPr>
            </w:pPr>
          </w:p>
        </w:tc>
      </w:tr>
      <w:tr w:rsidR="00E92A89" w:rsidRPr="00857DC8" w14:paraId="47E4D65A" w14:textId="77777777" w:rsidTr="001640E0">
        <w:trPr>
          <w:jc w:val="center"/>
        </w:trPr>
        <w:tc>
          <w:tcPr>
            <w:tcW w:w="5349" w:type="dxa"/>
            <w:gridSpan w:val="2"/>
            <w:shd w:val="clear" w:color="auto" w:fill="D9D9D9" w:themeFill="background1" w:themeFillShade="D9"/>
            <w:vAlign w:val="center"/>
          </w:tcPr>
          <w:p w14:paraId="5950EF08" w14:textId="10A79B7F" w:rsidR="00E92A89" w:rsidRPr="001F17F6" w:rsidRDefault="00C46532" w:rsidP="00ED2C9A">
            <w:pPr>
              <w:jc w:val="center"/>
              <w:rPr>
                <w:b/>
                <w:bCs/>
                <w:sz w:val="18"/>
                <w:szCs w:val="18"/>
                <w:lang w:val="en-GB"/>
              </w:rPr>
            </w:pPr>
            <w:r>
              <w:rPr>
                <w:b/>
                <w:bCs/>
                <w:sz w:val="18"/>
                <w:szCs w:val="18"/>
                <w:lang w:val="en-GB"/>
              </w:rPr>
              <w:t>Example link usages</w:t>
            </w:r>
          </w:p>
        </w:tc>
        <w:tc>
          <w:tcPr>
            <w:tcW w:w="1530" w:type="dxa"/>
            <w:shd w:val="clear" w:color="auto" w:fill="D9D9D9" w:themeFill="background1" w:themeFillShade="D9"/>
            <w:vAlign w:val="center"/>
          </w:tcPr>
          <w:p w14:paraId="10EEFA20"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AFE4689"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2B5523" w:rsidRPr="00621E37" w14:paraId="20A7FDC0"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10019B5" w14:textId="3A5C252A" w:rsidR="002B5523" w:rsidRPr="001F17F6" w:rsidRDefault="00955699" w:rsidP="00621E37">
            <w:pPr>
              <w:jc w:val="center"/>
              <w:rPr>
                <w:b/>
                <w:bCs/>
                <w:sz w:val="18"/>
                <w:szCs w:val="18"/>
                <w:lang w:val="en-GB"/>
              </w:rPr>
            </w:pPr>
            <w:r>
              <w:rPr>
                <w:b/>
                <w:bCs/>
                <w:sz w:val="18"/>
                <w:szCs w:val="18"/>
                <w:lang w:val="en-GB"/>
              </w:rPr>
              <w:t>1.1.1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6F484" w14:textId="55046AAD" w:rsidR="002B5523" w:rsidRPr="001F17F6" w:rsidRDefault="00E46276" w:rsidP="00CB7300">
            <w:pPr>
              <w:jc w:val="both"/>
              <w:rPr>
                <w:sz w:val="18"/>
                <w:szCs w:val="18"/>
                <w:lang w:val="en-GB"/>
              </w:rPr>
            </w:pPr>
            <w:r>
              <w:rPr>
                <w:sz w:val="18"/>
                <w:szCs w:val="18"/>
                <w:lang w:val="en-GB"/>
              </w:rPr>
              <w:t xml:space="preserve">Link to </w:t>
            </w:r>
            <w:r w:rsidRPr="00E46276">
              <w:rPr>
                <w:sz w:val="18"/>
                <w:szCs w:val="18"/>
                <w:lang w:val="en-GB"/>
              </w:rPr>
              <w:t>website</w:t>
            </w:r>
            <w:r w:rsidR="00602061">
              <w:rPr>
                <w:sz w:val="18"/>
                <w:szCs w:val="18"/>
                <w:lang w:val="en-GB"/>
              </w:rPr>
              <w:t xml:space="preserve"> with link text</w:t>
            </w:r>
            <w:r>
              <w:rPr>
                <w:sz w:val="18"/>
                <w:szCs w:val="18"/>
                <w:lang w:val="en-GB"/>
              </w:rPr>
              <w:t xml:space="preserve">. </w:t>
            </w:r>
            <w:r w:rsidR="00602061">
              <w:rPr>
                <w:sz w:val="18"/>
                <w:szCs w:val="18"/>
                <w:lang w:val="en-GB"/>
              </w:rPr>
              <w:t xml:space="preserve">1. </w:t>
            </w:r>
            <w:hyperlink r:id="rId15" w:history="1">
              <w:r w:rsidRPr="00E46276">
                <w:rPr>
                  <w:rStyle w:val="Hyperlink"/>
                  <w:sz w:val="18"/>
                  <w:szCs w:val="18"/>
                  <w:lang w:val="en-GB"/>
                </w:rPr>
                <w:t>Link</w:t>
              </w:r>
            </w:hyperlink>
            <w:r w:rsidR="00602061">
              <w:rPr>
                <w:sz w:val="18"/>
                <w:szCs w:val="18"/>
                <w:lang w:val="en-GB"/>
              </w:rPr>
              <w:t>, 2</w:t>
            </w:r>
            <w:r w:rsidR="009E1943">
              <w:rPr>
                <w:sz w:val="18"/>
                <w:szCs w:val="18"/>
                <w:lang w:val="en-GB"/>
              </w:rPr>
              <w:t xml:space="preserve">. </w:t>
            </w:r>
            <w:r w:rsidR="00602061">
              <w:rPr>
                <w:sz w:val="18"/>
                <w:szCs w:val="18"/>
                <w:lang w:val="en-GB"/>
              </w:rPr>
              <w:t>http://jira.austin.mgam/browse/GRE-110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3F5BE6" w14:textId="77777777" w:rsidR="002B5523" w:rsidRPr="001F17F6" w:rsidRDefault="00000000" w:rsidP="00282AAA">
            <w:pPr>
              <w:jc w:val="center"/>
              <w:rPr>
                <w:sz w:val="18"/>
                <w:szCs w:val="18"/>
                <w:lang w:val="en-GB"/>
              </w:rPr>
            </w:pPr>
            <w:sdt>
              <w:sdtPr>
                <w:rPr>
                  <w:b/>
                  <w:bCs/>
                  <w:color w:val="000000"/>
                  <w:sz w:val="18"/>
                  <w:szCs w:val="18"/>
                </w:rPr>
                <w:tag w:val="Result Box"/>
                <w:id w:val="175884512"/>
                <w:placeholder>
                  <w:docPart w:val="FB930FEA2BCC405BA0D418318295C1ED"/>
                </w:placeholder>
                <w:showingPlcHdr/>
                <w:dropDownList>
                  <w:listItem w:value="Choose an item."/>
                  <w:listItem w:displayText="PASS" w:value="PASS"/>
                  <w:listItem w:displayText="FAIL" w:value="FAIL"/>
                  <w:listItem w:displayText="N/A" w:value="N/A"/>
                </w:dropDownList>
              </w:sdtPr>
              <w:sdtContent>
                <w:r w:rsidR="002B552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B5486B" w14:textId="77777777" w:rsidR="002B5523" w:rsidRPr="001F17F6" w:rsidRDefault="002B5523" w:rsidP="00621E37">
            <w:pPr>
              <w:rPr>
                <w:sz w:val="18"/>
                <w:szCs w:val="18"/>
                <w:lang w:val="en-GB"/>
              </w:rPr>
            </w:pPr>
          </w:p>
        </w:tc>
      </w:tr>
      <w:tr w:rsidR="00602061" w:rsidRPr="00621E37" w14:paraId="1214D60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F12FF8" w14:textId="3C91D5BD" w:rsidR="00602061" w:rsidRPr="001F17F6" w:rsidRDefault="00602061" w:rsidP="00602061">
            <w:pPr>
              <w:jc w:val="center"/>
              <w:rPr>
                <w:b/>
                <w:bCs/>
                <w:sz w:val="18"/>
                <w:szCs w:val="18"/>
                <w:lang w:val="en-GB"/>
              </w:rPr>
            </w:pPr>
            <w:r>
              <w:rPr>
                <w:b/>
                <w:bCs/>
                <w:sz w:val="18"/>
                <w:szCs w:val="18"/>
                <w:lang w:val="en-GB"/>
              </w:rPr>
              <w:t>1.1.2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CA0519" w14:textId="18742DB4" w:rsidR="00602061" w:rsidRPr="001F17F6" w:rsidRDefault="00602061" w:rsidP="00602061">
            <w:pPr>
              <w:jc w:val="both"/>
              <w:rPr>
                <w:sz w:val="18"/>
                <w:szCs w:val="18"/>
                <w:lang w:val="en-GB"/>
              </w:rPr>
            </w:pPr>
            <w:r>
              <w:rPr>
                <w:sz w:val="18"/>
                <w:szCs w:val="18"/>
                <w:lang w:val="en-GB"/>
              </w:rPr>
              <w:t xml:space="preserve">Link to </w:t>
            </w:r>
            <w:r w:rsidRPr="00E46276">
              <w:rPr>
                <w:sz w:val="18"/>
                <w:szCs w:val="18"/>
                <w:lang w:val="en-GB"/>
              </w:rPr>
              <w:t>website</w:t>
            </w:r>
            <w:r>
              <w:rPr>
                <w:sz w:val="18"/>
                <w:szCs w:val="18"/>
                <w:lang w:val="en-GB"/>
              </w:rPr>
              <w:t xml:space="preserve"> without link text. </w:t>
            </w:r>
            <w:hyperlink r:id="rId16" w:history="1">
              <w:r w:rsidRPr="00007A3B">
                <w:rPr>
                  <w:rStyle w:val="Hyperlink"/>
                  <w:sz w:val="18"/>
                  <w:szCs w:val="18"/>
                  <w:lang w:val="en-GB"/>
                </w:rPr>
                <w:t>http://jira.austin.mgam/browse/GRE-110</w:t>
              </w:r>
            </w:hyperlink>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327F46" w14:textId="77777777" w:rsidR="00602061" w:rsidRPr="001F17F6" w:rsidRDefault="00000000" w:rsidP="00602061">
            <w:pPr>
              <w:jc w:val="center"/>
              <w:rPr>
                <w:sz w:val="18"/>
                <w:szCs w:val="18"/>
                <w:lang w:val="en-GB"/>
              </w:rPr>
            </w:pPr>
            <w:sdt>
              <w:sdtPr>
                <w:rPr>
                  <w:b/>
                  <w:bCs/>
                  <w:color w:val="000000"/>
                  <w:sz w:val="18"/>
                  <w:szCs w:val="18"/>
                </w:rPr>
                <w:tag w:val="Result Box"/>
                <w:id w:val="175884523"/>
                <w:placeholder>
                  <w:docPart w:val="19FF600A41904489A6E031F03DC0A437"/>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498F8D" w14:textId="77777777" w:rsidR="00602061" w:rsidRPr="001F17F6" w:rsidRDefault="00602061" w:rsidP="00602061">
            <w:pPr>
              <w:rPr>
                <w:sz w:val="18"/>
                <w:szCs w:val="18"/>
                <w:lang w:val="en-GB"/>
              </w:rPr>
            </w:pPr>
          </w:p>
        </w:tc>
      </w:tr>
      <w:tr w:rsidR="00602061" w:rsidRPr="00621E37" w14:paraId="776B51C8"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DFA86DE" w14:textId="3827C724" w:rsidR="00602061" w:rsidRPr="001F17F6" w:rsidRDefault="00602061" w:rsidP="00602061">
            <w:pPr>
              <w:jc w:val="center"/>
              <w:rPr>
                <w:b/>
                <w:bCs/>
                <w:sz w:val="18"/>
                <w:szCs w:val="18"/>
                <w:lang w:val="en-GB"/>
              </w:rPr>
            </w:pPr>
            <w:r>
              <w:rPr>
                <w:b/>
                <w:bCs/>
                <w:sz w:val="18"/>
                <w:szCs w:val="18"/>
                <w:lang w:val="en-GB"/>
              </w:rPr>
              <w:t>1.1.3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14BAA7" w14:textId="1577025B" w:rsidR="00602061" w:rsidRPr="001F17F6" w:rsidRDefault="00602061" w:rsidP="00602061">
            <w:pPr>
              <w:jc w:val="both"/>
              <w:rPr>
                <w:sz w:val="18"/>
                <w:szCs w:val="18"/>
                <w:lang w:val="en-GB"/>
              </w:rPr>
            </w:pPr>
            <w:r>
              <w:rPr>
                <w:sz w:val="18"/>
                <w:szCs w:val="18"/>
                <w:lang w:val="en-GB"/>
              </w:rPr>
              <w:t xml:space="preserve">Link to </w:t>
            </w:r>
            <w:r w:rsidRPr="00E46276">
              <w:rPr>
                <w:sz w:val="18"/>
                <w:szCs w:val="18"/>
                <w:lang w:val="en-GB"/>
              </w:rPr>
              <w:t>email</w:t>
            </w:r>
            <w:r>
              <w:rPr>
                <w:sz w:val="18"/>
                <w:szCs w:val="18"/>
                <w:lang w:val="en-GB"/>
              </w:rPr>
              <w:t xml:space="preserve">. </w:t>
            </w:r>
            <w:hyperlink r:id="rId17" w:history="1">
              <w:r w:rsidRPr="00E46276">
                <w:rPr>
                  <w:rStyle w:val="Hyperlink"/>
                  <w:sz w:val="18"/>
                  <w:szCs w:val="18"/>
                  <w:lang w:val="en-GB"/>
                </w:rPr>
                <w:t>Link</w:t>
              </w:r>
            </w:hyperlink>
            <w:r>
              <w:rPr>
                <w:sz w:val="18"/>
                <w:szCs w:val="18"/>
                <w:lang w:val="en-GB"/>
              </w:rPr>
              <w:t xml:space="preserve"> </w:t>
            </w:r>
            <w:r w:rsidRPr="00E46276">
              <w:rPr>
                <w:sz w:val="18"/>
                <w:szCs w:val="18"/>
                <w:lang w:val="en-GB"/>
              </w:rPr>
              <w:t>sknowlton@everi.com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987DC" w14:textId="77777777" w:rsidR="00602061" w:rsidRPr="001F17F6" w:rsidRDefault="00000000" w:rsidP="00602061">
            <w:pPr>
              <w:jc w:val="center"/>
              <w:rPr>
                <w:sz w:val="18"/>
                <w:szCs w:val="18"/>
                <w:lang w:val="en-GB"/>
              </w:rPr>
            </w:pPr>
            <w:sdt>
              <w:sdtPr>
                <w:rPr>
                  <w:b/>
                  <w:bCs/>
                  <w:color w:val="000000"/>
                  <w:sz w:val="18"/>
                  <w:szCs w:val="18"/>
                </w:rPr>
                <w:tag w:val="Result Box"/>
                <w:id w:val="175884583"/>
                <w:placeholder>
                  <w:docPart w:val="5B15CC46C13547E2B9408FCD1A754211"/>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EDF20A" w14:textId="77777777" w:rsidR="00602061" w:rsidRPr="001F17F6" w:rsidRDefault="00602061" w:rsidP="00602061">
            <w:pPr>
              <w:rPr>
                <w:sz w:val="18"/>
                <w:szCs w:val="18"/>
                <w:lang w:val="en-GB"/>
              </w:rPr>
            </w:pPr>
          </w:p>
        </w:tc>
      </w:tr>
      <w:tr w:rsidR="00602061" w:rsidRPr="001F17F6" w14:paraId="18E0A65E"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55B11C0" w14:textId="47952AB1" w:rsidR="00602061" w:rsidRPr="001F17F6" w:rsidRDefault="00602061" w:rsidP="00602061">
            <w:pPr>
              <w:jc w:val="center"/>
              <w:rPr>
                <w:b/>
                <w:bCs/>
                <w:sz w:val="18"/>
                <w:szCs w:val="18"/>
                <w:lang w:val="en-GB"/>
              </w:rPr>
            </w:pPr>
            <w:r>
              <w:rPr>
                <w:b/>
                <w:bCs/>
                <w:sz w:val="18"/>
                <w:szCs w:val="18"/>
                <w:lang w:val="en-GB"/>
              </w:rPr>
              <w:t>1.</w:t>
            </w:r>
            <w:r w:rsidR="00565CC6">
              <w:rPr>
                <w:b/>
                <w:bCs/>
                <w:sz w:val="18"/>
                <w:szCs w:val="18"/>
                <w:lang w:val="en-GB"/>
              </w:rPr>
              <w:t>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C4C22C" w14:textId="12D118E4" w:rsidR="00602061" w:rsidRPr="001F17F6" w:rsidRDefault="00602061" w:rsidP="00602061">
            <w:pPr>
              <w:jc w:val="both"/>
              <w:rPr>
                <w:sz w:val="18"/>
                <w:szCs w:val="18"/>
                <w:lang w:val="en-GB"/>
              </w:rPr>
            </w:pPr>
            <w:r>
              <w:rPr>
                <w:sz w:val="18"/>
                <w:szCs w:val="18"/>
                <w:lang w:val="en-GB"/>
              </w:rPr>
              <w:t>Link to location in document.</w:t>
            </w:r>
            <w:hyperlink w:anchor="MaxPrize" w:history="1">
              <w:r w:rsidRPr="00C46532">
                <w:rPr>
                  <w:rStyle w:val="Hyperlink"/>
                  <w:sz w:val="18"/>
                  <w:szCs w:val="18"/>
                  <w:lang w:val="en-GB"/>
                </w:rPr>
                <w:t xml:space="preserve"> Link</w:t>
              </w:r>
            </w:hyperlink>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5A0082" w14:textId="77777777" w:rsidR="00602061" w:rsidRPr="001F17F6" w:rsidRDefault="00000000" w:rsidP="00602061">
            <w:pPr>
              <w:jc w:val="center"/>
              <w:rPr>
                <w:sz w:val="18"/>
                <w:szCs w:val="18"/>
                <w:lang w:val="en-GB"/>
              </w:rPr>
            </w:pPr>
            <w:sdt>
              <w:sdtPr>
                <w:rPr>
                  <w:b/>
                  <w:bCs/>
                  <w:color w:val="000000"/>
                  <w:sz w:val="18"/>
                  <w:szCs w:val="18"/>
                </w:rPr>
                <w:tag w:val="Result Box"/>
                <w:id w:val="-1678340963"/>
                <w:placeholder>
                  <w:docPart w:val="1592B2CBA87A4E78B6BC162DC59276CF"/>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D22BA2" w14:textId="77777777" w:rsidR="00602061" w:rsidRPr="001F17F6" w:rsidRDefault="00602061" w:rsidP="00602061">
            <w:pPr>
              <w:rPr>
                <w:sz w:val="18"/>
                <w:szCs w:val="18"/>
                <w:lang w:val="en-GB"/>
              </w:rPr>
            </w:pPr>
          </w:p>
        </w:tc>
      </w:tr>
      <w:tr w:rsidR="00854BA3" w:rsidRPr="001F17F6" w14:paraId="04C37B6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5B26AE" w14:textId="5CDCE82B" w:rsidR="00854BA3" w:rsidRPr="001F17F6" w:rsidRDefault="00C46532" w:rsidP="00854BA3">
            <w:pPr>
              <w:jc w:val="center"/>
              <w:rPr>
                <w:b/>
                <w:bCs/>
                <w:sz w:val="18"/>
                <w:szCs w:val="18"/>
                <w:lang w:val="en-GB"/>
              </w:rPr>
            </w:pPr>
            <w:r>
              <w:rPr>
                <w:b/>
                <w:bCs/>
                <w:sz w:val="18"/>
                <w:szCs w:val="18"/>
                <w:lang w:val="en-GB"/>
              </w:rPr>
              <w:t>1.</w:t>
            </w:r>
            <w:r w:rsidR="00565CC6">
              <w:rPr>
                <w:b/>
                <w:bCs/>
                <w:sz w:val="18"/>
                <w:szCs w:val="18"/>
                <w:lang w:val="en-GB"/>
              </w:rPr>
              <w:t>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E7ECCE" w14:textId="3C7C4E80" w:rsidR="00854BA3" w:rsidRPr="001F17F6" w:rsidRDefault="003C0536" w:rsidP="00854BA3">
            <w:pPr>
              <w:jc w:val="both"/>
              <w:rPr>
                <w:sz w:val="18"/>
                <w:szCs w:val="18"/>
                <w:lang w:val="en-GB"/>
              </w:rPr>
            </w:pPr>
            <w:r w:rsidRPr="00DC4B34">
              <w:rPr>
                <w:color w:val="000000" w:themeColor="text1"/>
                <w:sz w:val="18"/>
                <w:szCs w:val="18"/>
                <w:lang w:val="en-GB"/>
              </w:rPr>
              <w:t xml:space="preserve">The jackpot limit of a standalone progressive level for transmission in the PDB2 by the gaming machine can be up to $10,000 provided that the maximum standalone progressive prize limit for a game element as listed in section </w:t>
            </w:r>
            <w:hyperlink w:anchor="MaxPrize" w:history="1">
              <w:r w:rsidRPr="00DC4B34">
                <w:rPr>
                  <w:rStyle w:val="Hyperlink"/>
                  <w:color w:val="000000" w:themeColor="text1"/>
                  <w:sz w:val="18"/>
                  <w:szCs w:val="18"/>
                  <w:lang w:val="en-GB"/>
                </w:rPr>
                <w:t>2.1.4a</w:t>
              </w:r>
            </w:hyperlink>
            <w:r w:rsidRPr="00DC4B34">
              <w:rPr>
                <w:color w:val="000000" w:themeColor="text1"/>
                <w:sz w:val="18"/>
                <w:szCs w:val="18"/>
                <w:lang w:val="en-GB"/>
              </w:rPr>
              <w:t xml:space="preserve"> of the NSW Jackpot Standard is satisfied.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745D99" w14:textId="77777777" w:rsidR="00854BA3" w:rsidRPr="001F17F6" w:rsidRDefault="00000000" w:rsidP="00854BA3">
            <w:pPr>
              <w:jc w:val="center"/>
              <w:rPr>
                <w:sz w:val="18"/>
                <w:szCs w:val="18"/>
                <w:lang w:val="en-GB"/>
              </w:rPr>
            </w:pPr>
            <w:sdt>
              <w:sdtPr>
                <w:rPr>
                  <w:b/>
                  <w:bCs/>
                  <w:color w:val="000000"/>
                  <w:sz w:val="18"/>
                  <w:szCs w:val="18"/>
                </w:rPr>
                <w:tag w:val="Result Box"/>
                <w:id w:val="-1328348183"/>
                <w:placeholder>
                  <w:docPart w:val="68BDE04A58DB484CBC83D8FA82599D83"/>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378A5B" w14:textId="77777777" w:rsidR="00854BA3" w:rsidRPr="001F17F6" w:rsidRDefault="00854BA3" w:rsidP="00854BA3">
            <w:pPr>
              <w:rPr>
                <w:sz w:val="18"/>
                <w:szCs w:val="18"/>
                <w:lang w:val="en-GB"/>
              </w:rPr>
            </w:pPr>
          </w:p>
        </w:tc>
      </w:tr>
    </w:tbl>
    <w:p w14:paraId="66A2BF1E" w14:textId="77777777" w:rsidR="00803F10" w:rsidRDefault="00803F10"/>
    <w:p w14:paraId="3F1ACFBD" w14:textId="77777777" w:rsidR="00803F10" w:rsidRDefault="00803F10"/>
    <w:p w14:paraId="5A54C783" w14:textId="77777777" w:rsidR="00803F10" w:rsidRDefault="00803F10"/>
    <w:p w14:paraId="18BB1003" w14:textId="77777777" w:rsidR="004A2744" w:rsidRPr="009021F5" w:rsidRDefault="004A2744" w:rsidP="004A2744">
      <w:pPr>
        <w:pStyle w:val="Heading1"/>
        <w:keepNext w:val="0"/>
        <w:tabs>
          <w:tab w:val="left" w:pos="972"/>
          <w:tab w:val="left" w:pos="3012"/>
        </w:tabs>
        <w:spacing w:before="120"/>
        <w:ind w:left="-851"/>
        <w:rPr>
          <w:b/>
          <w:sz w:val="20"/>
          <w:szCs w:val="18"/>
          <w:u w:val="single"/>
        </w:rPr>
      </w:pPr>
      <w:bookmarkStart w:id="0" w:name="_Version_History"/>
      <w:bookmarkEnd w:id="0"/>
      <w:r w:rsidRPr="009021F5">
        <w:rPr>
          <w:b/>
          <w:sz w:val="20"/>
          <w:szCs w:val="18"/>
          <w:u w:val="single"/>
        </w:rPr>
        <w:t>Version History</w:t>
      </w:r>
      <w:r w:rsidRPr="004A2744">
        <w:rPr>
          <w:b/>
          <w:sz w:val="20"/>
          <w:szCs w:val="18"/>
        </w:rPr>
        <w:tab/>
      </w:r>
      <w:r w:rsidRPr="004A2744">
        <w:rPr>
          <w:b/>
          <w:sz w:val="20"/>
          <w:szCs w:val="18"/>
        </w:rPr>
        <w:tab/>
      </w:r>
    </w:p>
    <w:p w14:paraId="5B6209AC"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5B19E95E" w14:textId="77777777" w:rsidR="004A2744" w:rsidRPr="009C2D63" w:rsidRDefault="004A2744" w:rsidP="004A2744">
      <w:pPr>
        <w:ind w:hanging="851"/>
        <w:rPr>
          <w:vanish/>
        </w:rPr>
      </w:pPr>
    </w:p>
    <w:p w14:paraId="0C1AABD8"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763F3822"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7259792B"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6D8A5A88"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6FC0139B"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36BD196B"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84FE4F"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7C1CC768"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71ACF26"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5A89D41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7499ACB3"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46833A06" w14:textId="77777777" w:rsidR="00195C8D" w:rsidRDefault="006B4B60" w:rsidP="00D95375">
      <w:pPr>
        <w:pStyle w:val="BodyTextIndent"/>
        <w:ind w:left="-851" w:firstLine="0"/>
        <w:rPr>
          <w:vanish/>
        </w:rPr>
      </w:pPr>
      <w:bookmarkStart w:id="1"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1"/>
    </w:p>
    <w:p w14:paraId="3355E0B5" w14:textId="77777777" w:rsidR="00DA336A" w:rsidRDefault="00DA336A" w:rsidP="005E438D">
      <w:pPr>
        <w:pStyle w:val="BodyTextIndent"/>
        <w:ind w:left="-851" w:right="-608" w:firstLine="0"/>
        <w:rPr>
          <w:vanish/>
        </w:rPr>
      </w:pPr>
      <w:bookmarkStart w:id="2"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2"/>
    </w:p>
    <w:p w14:paraId="009A4225"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8E8365F"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3F7AA571" w14:textId="77777777" w:rsidR="00D570FB" w:rsidRPr="005E438D" w:rsidRDefault="00D570FB" w:rsidP="005E438D">
      <w:pPr>
        <w:pStyle w:val="BodyTextIndent"/>
        <w:ind w:left="-851" w:right="-608" w:firstLine="0"/>
      </w:pPr>
    </w:p>
    <w:sectPr w:rsidR="00D570FB" w:rsidRPr="005E438D" w:rsidSect="00E77DEF">
      <w:headerReference w:type="default" r:id="rId18"/>
      <w:footerReference w:type="even" r:id="rId19"/>
      <w:footerReference w:type="default" r:id="rId20"/>
      <w:headerReference w:type="first" r:id="rId21"/>
      <w:footerReference w:type="first" r:id="rId22"/>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CA89" w14:textId="77777777" w:rsidR="00491BC6" w:rsidRDefault="00491BC6" w:rsidP="009C2F3C">
      <w:r>
        <w:separator/>
      </w:r>
    </w:p>
  </w:endnote>
  <w:endnote w:type="continuationSeparator" w:id="0">
    <w:p w14:paraId="7E74B11E" w14:textId="77777777" w:rsidR="00491BC6" w:rsidRDefault="00491BC6"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05D8"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7381C1E"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C132"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507E7B4B" w14:textId="77777777">
      <w:trPr>
        <w:trHeight w:val="783"/>
        <w:jc w:val="center"/>
      </w:trPr>
      <w:tc>
        <w:tcPr>
          <w:tcW w:w="11250" w:type="dxa"/>
          <w:tcBorders>
            <w:top w:val="threeDEmboss" w:sz="24" w:space="0" w:color="auto"/>
          </w:tcBorders>
          <w:vAlign w:val="center"/>
        </w:tcPr>
        <w:p w14:paraId="3A0798D2"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1F4CBF45"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431638A8" w14:textId="77777777">
      <w:tc>
        <w:tcPr>
          <w:tcW w:w="3060" w:type="dxa"/>
          <w:tcBorders>
            <w:top w:val="single" w:sz="12" w:space="0" w:color="auto"/>
          </w:tcBorders>
        </w:tcPr>
        <w:p w14:paraId="3581B6E3"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4C51F257"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7ECABF34"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07923766" w14:textId="77777777">
      <w:tc>
        <w:tcPr>
          <w:tcW w:w="3060" w:type="dxa"/>
        </w:tcPr>
        <w:p w14:paraId="46886E28"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7AF6C84C"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686F0EA8"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0F63FAE8"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044A" w14:textId="77777777" w:rsidR="00491BC6" w:rsidRDefault="00491BC6" w:rsidP="009C2F3C">
      <w:r>
        <w:separator/>
      </w:r>
    </w:p>
  </w:footnote>
  <w:footnote w:type="continuationSeparator" w:id="0">
    <w:p w14:paraId="0E92E823" w14:textId="77777777" w:rsidR="00491BC6" w:rsidRDefault="00491BC6"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16BFDEAF" w14:textId="77777777">
      <w:trPr>
        <w:cantSplit/>
        <w:trHeight w:val="315"/>
        <w:jc w:val="center"/>
      </w:trPr>
      <w:tc>
        <w:tcPr>
          <w:tcW w:w="1710" w:type="dxa"/>
          <w:vMerge w:val="restart"/>
          <w:tcBorders>
            <w:right w:val="nil"/>
          </w:tcBorders>
          <w:vAlign w:val="center"/>
        </w:tcPr>
        <w:p w14:paraId="2BE06DDB" w14:textId="77777777" w:rsidR="007D2D42" w:rsidRDefault="007D2D42">
          <w:pPr>
            <w:pStyle w:val="Heading1"/>
            <w:rPr>
              <w:b/>
            </w:rPr>
          </w:pPr>
          <w:r>
            <w:rPr>
              <w:noProof/>
              <w:lang w:val="en-AU" w:eastAsia="en-AU"/>
            </w:rPr>
            <w:drawing>
              <wp:inline distT="0" distB="0" distL="0" distR="0" wp14:anchorId="36056A62" wp14:editId="08CEF86A">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5BE32BAB"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350F39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241A0F0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4C7B5B26" w14:textId="77777777">
      <w:trPr>
        <w:cantSplit/>
        <w:trHeight w:val="300"/>
        <w:jc w:val="center"/>
      </w:trPr>
      <w:tc>
        <w:tcPr>
          <w:tcW w:w="1710" w:type="dxa"/>
          <w:vMerge/>
          <w:tcBorders>
            <w:right w:val="nil"/>
          </w:tcBorders>
          <w:vAlign w:val="center"/>
        </w:tcPr>
        <w:p w14:paraId="59CE9034" w14:textId="77777777" w:rsidR="007D2D42" w:rsidRDefault="007D2D42">
          <w:pPr>
            <w:pStyle w:val="Heading1"/>
          </w:pPr>
        </w:p>
      </w:tc>
      <w:tc>
        <w:tcPr>
          <w:tcW w:w="4050" w:type="dxa"/>
          <w:tcBorders>
            <w:top w:val="nil"/>
            <w:left w:val="nil"/>
            <w:bottom w:val="nil"/>
            <w:right w:val="nil"/>
          </w:tcBorders>
          <w:vAlign w:val="center"/>
        </w:tcPr>
        <w:p w14:paraId="647EF04F"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74D5E33C"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21B3426E" w14:textId="77777777" w:rsidTr="00E77DEF">
      <w:trPr>
        <w:cantSplit/>
        <w:trHeight w:val="855"/>
        <w:jc w:val="center"/>
      </w:trPr>
      <w:tc>
        <w:tcPr>
          <w:tcW w:w="1710" w:type="dxa"/>
          <w:vMerge/>
          <w:tcBorders>
            <w:bottom w:val="threeDEmboss" w:sz="18" w:space="0" w:color="auto"/>
            <w:right w:val="nil"/>
          </w:tcBorders>
          <w:vAlign w:val="center"/>
        </w:tcPr>
        <w:p w14:paraId="33649F71" w14:textId="77777777" w:rsidR="007D2D42" w:rsidRDefault="007D2D42">
          <w:pPr>
            <w:pStyle w:val="Heading1"/>
          </w:pPr>
        </w:p>
      </w:tc>
      <w:tc>
        <w:tcPr>
          <w:tcW w:w="8370" w:type="dxa"/>
          <w:gridSpan w:val="2"/>
          <w:tcBorders>
            <w:top w:val="nil"/>
            <w:left w:val="nil"/>
            <w:bottom w:val="threeDEmboss" w:sz="18" w:space="0" w:color="auto"/>
          </w:tcBorders>
          <w:vAlign w:val="center"/>
        </w:tcPr>
        <w:p w14:paraId="36457556"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071CA093" wp14:editId="7048E55E">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CA093"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" strokecolor="gray" strokeweight="4.5pt">
                    <v:stroke linestyle="thinThick"/>
                    <v:textbo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750835CC"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E19"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0D6FC795"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8628">
    <w:abstractNumId w:val="6"/>
  </w:num>
  <w:num w:numId="2" w16cid:durableId="458886047">
    <w:abstractNumId w:val="17"/>
  </w:num>
  <w:num w:numId="3" w16cid:durableId="959990624">
    <w:abstractNumId w:val="20"/>
  </w:num>
  <w:num w:numId="4" w16cid:durableId="323700593">
    <w:abstractNumId w:val="19"/>
  </w:num>
  <w:num w:numId="5" w16cid:durableId="984311972">
    <w:abstractNumId w:val="5"/>
  </w:num>
  <w:num w:numId="6" w16cid:durableId="1641885743">
    <w:abstractNumId w:val="16"/>
  </w:num>
  <w:num w:numId="7" w16cid:durableId="1304508180">
    <w:abstractNumId w:val="7"/>
  </w:num>
  <w:num w:numId="8" w16cid:durableId="995496394">
    <w:abstractNumId w:val="3"/>
  </w:num>
  <w:num w:numId="9" w16cid:durableId="1195777702">
    <w:abstractNumId w:val="12"/>
  </w:num>
  <w:num w:numId="10" w16cid:durableId="45877487">
    <w:abstractNumId w:val="10"/>
  </w:num>
  <w:num w:numId="11" w16cid:durableId="536085084">
    <w:abstractNumId w:val="14"/>
  </w:num>
  <w:num w:numId="12" w16cid:durableId="483471853">
    <w:abstractNumId w:val="8"/>
  </w:num>
  <w:num w:numId="13" w16cid:durableId="498421892">
    <w:abstractNumId w:val="11"/>
  </w:num>
  <w:num w:numId="14" w16cid:durableId="1600793080">
    <w:abstractNumId w:val="13"/>
  </w:num>
  <w:num w:numId="15" w16cid:durableId="400830546">
    <w:abstractNumId w:val="15"/>
  </w:num>
  <w:num w:numId="16" w16cid:durableId="1982223418">
    <w:abstractNumId w:val="2"/>
  </w:num>
  <w:num w:numId="17" w16cid:durableId="1150245552">
    <w:abstractNumId w:val="18"/>
  </w:num>
  <w:num w:numId="18" w16cid:durableId="2128044770">
    <w:abstractNumId w:val="1"/>
  </w:num>
  <w:num w:numId="19" w16cid:durableId="879440420">
    <w:abstractNumId w:val="4"/>
  </w:num>
  <w:num w:numId="20" w16cid:durableId="107893211">
    <w:abstractNumId w:val="0"/>
  </w:num>
  <w:num w:numId="21" w16cid:durableId="998538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2C9"/>
    <w:rsid w:val="00000530"/>
    <w:rsid w:val="00003C0E"/>
    <w:rsid w:val="000058C5"/>
    <w:rsid w:val="00007A3B"/>
    <w:rsid w:val="000170F9"/>
    <w:rsid w:val="0002712E"/>
    <w:rsid w:val="00030033"/>
    <w:rsid w:val="0003424A"/>
    <w:rsid w:val="000348D7"/>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2A5"/>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0087"/>
    <w:rsid w:val="0018257D"/>
    <w:rsid w:val="00183631"/>
    <w:rsid w:val="00184745"/>
    <w:rsid w:val="00187FB1"/>
    <w:rsid w:val="00192948"/>
    <w:rsid w:val="00192EDD"/>
    <w:rsid w:val="00195C8D"/>
    <w:rsid w:val="001A4789"/>
    <w:rsid w:val="001A718B"/>
    <w:rsid w:val="001B24F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32EF4"/>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A86"/>
    <w:rsid w:val="002B3DA4"/>
    <w:rsid w:val="002B5523"/>
    <w:rsid w:val="002B5CC9"/>
    <w:rsid w:val="002B5F66"/>
    <w:rsid w:val="002B6AE5"/>
    <w:rsid w:val="002C2FEE"/>
    <w:rsid w:val="002C7474"/>
    <w:rsid w:val="002C7A57"/>
    <w:rsid w:val="002D298A"/>
    <w:rsid w:val="002D4515"/>
    <w:rsid w:val="002D7C3A"/>
    <w:rsid w:val="002E038B"/>
    <w:rsid w:val="002E2C54"/>
    <w:rsid w:val="002E5BBD"/>
    <w:rsid w:val="002E60DD"/>
    <w:rsid w:val="002F2831"/>
    <w:rsid w:val="00302D3A"/>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A3E"/>
    <w:rsid w:val="00350E2C"/>
    <w:rsid w:val="00350E7A"/>
    <w:rsid w:val="00356DAE"/>
    <w:rsid w:val="00356F17"/>
    <w:rsid w:val="0036076C"/>
    <w:rsid w:val="00360B40"/>
    <w:rsid w:val="003615B3"/>
    <w:rsid w:val="0036272D"/>
    <w:rsid w:val="00362F2C"/>
    <w:rsid w:val="003654AE"/>
    <w:rsid w:val="0036764E"/>
    <w:rsid w:val="00367D5E"/>
    <w:rsid w:val="0037216F"/>
    <w:rsid w:val="003730DD"/>
    <w:rsid w:val="0037551E"/>
    <w:rsid w:val="003766E3"/>
    <w:rsid w:val="0038396D"/>
    <w:rsid w:val="00386DBC"/>
    <w:rsid w:val="00391F27"/>
    <w:rsid w:val="00394755"/>
    <w:rsid w:val="003B20E6"/>
    <w:rsid w:val="003B630E"/>
    <w:rsid w:val="003C0536"/>
    <w:rsid w:val="003D062A"/>
    <w:rsid w:val="003D1061"/>
    <w:rsid w:val="003D37EB"/>
    <w:rsid w:val="003D3A36"/>
    <w:rsid w:val="003D3D9F"/>
    <w:rsid w:val="003D4D64"/>
    <w:rsid w:val="003E139D"/>
    <w:rsid w:val="003E193B"/>
    <w:rsid w:val="003E54F3"/>
    <w:rsid w:val="003E5C80"/>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51369"/>
    <w:rsid w:val="004658A5"/>
    <w:rsid w:val="00470B0D"/>
    <w:rsid w:val="00470D08"/>
    <w:rsid w:val="004732DB"/>
    <w:rsid w:val="00473D2E"/>
    <w:rsid w:val="004747F1"/>
    <w:rsid w:val="00475219"/>
    <w:rsid w:val="00476972"/>
    <w:rsid w:val="004856A5"/>
    <w:rsid w:val="004905FD"/>
    <w:rsid w:val="00491BC6"/>
    <w:rsid w:val="00493B50"/>
    <w:rsid w:val="00493E3A"/>
    <w:rsid w:val="004A2744"/>
    <w:rsid w:val="004A4BA0"/>
    <w:rsid w:val="004B0AD7"/>
    <w:rsid w:val="004B3D43"/>
    <w:rsid w:val="004B4A5F"/>
    <w:rsid w:val="004C467E"/>
    <w:rsid w:val="004C4C9F"/>
    <w:rsid w:val="004C622C"/>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23828"/>
    <w:rsid w:val="00523BC6"/>
    <w:rsid w:val="005308F8"/>
    <w:rsid w:val="005415E4"/>
    <w:rsid w:val="00543B5F"/>
    <w:rsid w:val="00544867"/>
    <w:rsid w:val="00544F50"/>
    <w:rsid w:val="00553E59"/>
    <w:rsid w:val="005540E1"/>
    <w:rsid w:val="005576E8"/>
    <w:rsid w:val="00557D70"/>
    <w:rsid w:val="00557EDD"/>
    <w:rsid w:val="00565CC6"/>
    <w:rsid w:val="0056714E"/>
    <w:rsid w:val="00567260"/>
    <w:rsid w:val="005913E0"/>
    <w:rsid w:val="0059188D"/>
    <w:rsid w:val="00596ECB"/>
    <w:rsid w:val="00597052"/>
    <w:rsid w:val="005A33A1"/>
    <w:rsid w:val="005B0FE3"/>
    <w:rsid w:val="005B343E"/>
    <w:rsid w:val="005C0AC6"/>
    <w:rsid w:val="005C123F"/>
    <w:rsid w:val="005C2CE3"/>
    <w:rsid w:val="005D0BE1"/>
    <w:rsid w:val="005D46E4"/>
    <w:rsid w:val="005E3551"/>
    <w:rsid w:val="005E438D"/>
    <w:rsid w:val="005F280E"/>
    <w:rsid w:val="005F72DA"/>
    <w:rsid w:val="006000AA"/>
    <w:rsid w:val="00602061"/>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2454"/>
    <w:rsid w:val="006C61E7"/>
    <w:rsid w:val="006C6846"/>
    <w:rsid w:val="006D43FE"/>
    <w:rsid w:val="006D53E4"/>
    <w:rsid w:val="006D6FBD"/>
    <w:rsid w:val="006D78AA"/>
    <w:rsid w:val="006E01C1"/>
    <w:rsid w:val="006E0871"/>
    <w:rsid w:val="006E29AA"/>
    <w:rsid w:val="006E3BAC"/>
    <w:rsid w:val="006E5616"/>
    <w:rsid w:val="006F1287"/>
    <w:rsid w:val="006F1C4F"/>
    <w:rsid w:val="006F6664"/>
    <w:rsid w:val="007000DA"/>
    <w:rsid w:val="007031E9"/>
    <w:rsid w:val="007038FB"/>
    <w:rsid w:val="00710847"/>
    <w:rsid w:val="007112F2"/>
    <w:rsid w:val="00712E4D"/>
    <w:rsid w:val="007134FB"/>
    <w:rsid w:val="00714B25"/>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19B2"/>
    <w:rsid w:val="007D2D42"/>
    <w:rsid w:val="007D3193"/>
    <w:rsid w:val="007D4B3E"/>
    <w:rsid w:val="007D6841"/>
    <w:rsid w:val="007D7B94"/>
    <w:rsid w:val="007D7EB7"/>
    <w:rsid w:val="007E4A94"/>
    <w:rsid w:val="007E5D53"/>
    <w:rsid w:val="007E7009"/>
    <w:rsid w:val="007F6F81"/>
    <w:rsid w:val="007F75FA"/>
    <w:rsid w:val="008017F1"/>
    <w:rsid w:val="008032C4"/>
    <w:rsid w:val="008036E9"/>
    <w:rsid w:val="00803F10"/>
    <w:rsid w:val="008058BF"/>
    <w:rsid w:val="0080652B"/>
    <w:rsid w:val="00815CAD"/>
    <w:rsid w:val="00825F24"/>
    <w:rsid w:val="00841293"/>
    <w:rsid w:val="00841A01"/>
    <w:rsid w:val="00843B78"/>
    <w:rsid w:val="00846502"/>
    <w:rsid w:val="00847252"/>
    <w:rsid w:val="00851DF6"/>
    <w:rsid w:val="00853A8B"/>
    <w:rsid w:val="00854BA3"/>
    <w:rsid w:val="00860ACB"/>
    <w:rsid w:val="008630E6"/>
    <w:rsid w:val="00863CEE"/>
    <w:rsid w:val="00864C8B"/>
    <w:rsid w:val="008663A5"/>
    <w:rsid w:val="00867B9C"/>
    <w:rsid w:val="008723E2"/>
    <w:rsid w:val="0087476C"/>
    <w:rsid w:val="00877D1F"/>
    <w:rsid w:val="008812C5"/>
    <w:rsid w:val="00882F6A"/>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8F7CF7"/>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5699"/>
    <w:rsid w:val="009563A0"/>
    <w:rsid w:val="009567E2"/>
    <w:rsid w:val="00966957"/>
    <w:rsid w:val="00971B8E"/>
    <w:rsid w:val="00977875"/>
    <w:rsid w:val="00982F4B"/>
    <w:rsid w:val="009845ED"/>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0C08"/>
    <w:rsid w:val="009E1943"/>
    <w:rsid w:val="009E1DF1"/>
    <w:rsid w:val="009E3412"/>
    <w:rsid w:val="009E3AB8"/>
    <w:rsid w:val="009E502A"/>
    <w:rsid w:val="009E5BB2"/>
    <w:rsid w:val="009E6159"/>
    <w:rsid w:val="009E762B"/>
    <w:rsid w:val="009F0109"/>
    <w:rsid w:val="009F3F73"/>
    <w:rsid w:val="009F506F"/>
    <w:rsid w:val="00A05339"/>
    <w:rsid w:val="00A073AC"/>
    <w:rsid w:val="00A1196F"/>
    <w:rsid w:val="00A128C5"/>
    <w:rsid w:val="00A14203"/>
    <w:rsid w:val="00A15995"/>
    <w:rsid w:val="00A20318"/>
    <w:rsid w:val="00A234AE"/>
    <w:rsid w:val="00A237A6"/>
    <w:rsid w:val="00A24E15"/>
    <w:rsid w:val="00A25587"/>
    <w:rsid w:val="00A2755E"/>
    <w:rsid w:val="00A32C9E"/>
    <w:rsid w:val="00A37DA9"/>
    <w:rsid w:val="00A423F0"/>
    <w:rsid w:val="00A43E55"/>
    <w:rsid w:val="00A51306"/>
    <w:rsid w:val="00A513A5"/>
    <w:rsid w:val="00A5260C"/>
    <w:rsid w:val="00A53115"/>
    <w:rsid w:val="00A56E06"/>
    <w:rsid w:val="00A600A9"/>
    <w:rsid w:val="00A61CA1"/>
    <w:rsid w:val="00A62FCA"/>
    <w:rsid w:val="00A632C5"/>
    <w:rsid w:val="00A64ADB"/>
    <w:rsid w:val="00A66D1D"/>
    <w:rsid w:val="00A67DDE"/>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C0F6F"/>
    <w:rsid w:val="00AD0EE0"/>
    <w:rsid w:val="00AD448B"/>
    <w:rsid w:val="00AD53E2"/>
    <w:rsid w:val="00AD61E7"/>
    <w:rsid w:val="00AE264A"/>
    <w:rsid w:val="00AE707B"/>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3926"/>
    <w:rsid w:val="00B74BBF"/>
    <w:rsid w:val="00B760E2"/>
    <w:rsid w:val="00B762ED"/>
    <w:rsid w:val="00B77E21"/>
    <w:rsid w:val="00B81D63"/>
    <w:rsid w:val="00B851F5"/>
    <w:rsid w:val="00B853DB"/>
    <w:rsid w:val="00B875F3"/>
    <w:rsid w:val="00B87917"/>
    <w:rsid w:val="00B90E56"/>
    <w:rsid w:val="00B9374C"/>
    <w:rsid w:val="00B94044"/>
    <w:rsid w:val="00B95996"/>
    <w:rsid w:val="00B965F1"/>
    <w:rsid w:val="00BA132E"/>
    <w:rsid w:val="00BA1598"/>
    <w:rsid w:val="00BA1AAE"/>
    <w:rsid w:val="00BA2617"/>
    <w:rsid w:val="00BB0353"/>
    <w:rsid w:val="00BB1B8C"/>
    <w:rsid w:val="00BB20B4"/>
    <w:rsid w:val="00BB2D21"/>
    <w:rsid w:val="00BB6D17"/>
    <w:rsid w:val="00BC4353"/>
    <w:rsid w:val="00BC4E24"/>
    <w:rsid w:val="00BC5057"/>
    <w:rsid w:val="00BC68B4"/>
    <w:rsid w:val="00BD5CEE"/>
    <w:rsid w:val="00BD730E"/>
    <w:rsid w:val="00BD796C"/>
    <w:rsid w:val="00BE2AC5"/>
    <w:rsid w:val="00BE5004"/>
    <w:rsid w:val="00BE520C"/>
    <w:rsid w:val="00BF051F"/>
    <w:rsid w:val="00BF4601"/>
    <w:rsid w:val="00BF4D65"/>
    <w:rsid w:val="00C051DC"/>
    <w:rsid w:val="00C10E49"/>
    <w:rsid w:val="00C13792"/>
    <w:rsid w:val="00C23350"/>
    <w:rsid w:val="00C23CA1"/>
    <w:rsid w:val="00C26958"/>
    <w:rsid w:val="00C3298C"/>
    <w:rsid w:val="00C32A4C"/>
    <w:rsid w:val="00C4042B"/>
    <w:rsid w:val="00C41784"/>
    <w:rsid w:val="00C43BD0"/>
    <w:rsid w:val="00C44ED8"/>
    <w:rsid w:val="00C46532"/>
    <w:rsid w:val="00C537FD"/>
    <w:rsid w:val="00C609FB"/>
    <w:rsid w:val="00C61BD1"/>
    <w:rsid w:val="00C61C6B"/>
    <w:rsid w:val="00C63BA8"/>
    <w:rsid w:val="00C65C11"/>
    <w:rsid w:val="00C67BEA"/>
    <w:rsid w:val="00C70C4E"/>
    <w:rsid w:val="00C7288A"/>
    <w:rsid w:val="00C729F9"/>
    <w:rsid w:val="00C7404E"/>
    <w:rsid w:val="00C76176"/>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6E50"/>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A6B"/>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50F5"/>
    <w:rsid w:val="00DF687A"/>
    <w:rsid w:val="00DF72C7"/>
    <w:rsid w:val="00E0267E"/>
    <w:rsid w:val="00E02730"/>
    <w:rsid w:val="00E04208"/>
    <w:rsid w:val="00E04F32"/>
    <w:rsid w:val="00E05013"/>
    <w:rsid w:val="00E067F0"/>
    <w:rsid w:val="00E11F16"/>
    <w:rsid w:val="00E21B0F"/>
    <w:rsid w:val="00E25ED8"/>
    <w:rsid w:val="00E305F0"/>
    <w:rsid w:val="00E30DD5"/>
    <w:rsid w:val="00E4065A"/>
    <w:rsid w:val="00E409F1"/>
    <w:rsid w:val="00E40EAE"/>
    <w:rsid w:val="00E4139E"/>
    <w:rsid w:val="00E46276"/>
    <w:rsid w:val="00E51BC7"/>
    <w:rsid w:val="00E51C63"/>
    <w:rsid w:val="00E54ECE"/>
    <w:rsid w:val="00E566C1"/>
    <w:rsid w:val="00E6279F"/>
    <w:rsid w:val="00E75437"/>
    <w:rsid w:val="00E76D10"/>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27B6"/>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37E0"/>
    <w:rsid w:val="00F56F99"/>
    <w:rsid w:val="00F71A5A"/>
    <w:rsid w:val="00F74E62"/>
    <w:rsid w:val="00F8386D"/>
    <w:rsid w:val="00F85611"/>
    <w:rsid w:val="00F862F2"/>
    <w:rsid w:val="00F94468"/>
    <w:rsid w:val="00F96491"/>
    <w:rsid w:val="00F967B8"/>
    <w:rsid w:val="00F97F20"/>
    <w:rsid w:val="00FA1002"/>
    <w:rsid w:val="00FA2861"/>
    <w:rsid w:val="00FA5DDE"/>
    <w:rsid w:val="00FB0AE0"/>
    <w:rsid w:val="00FB2882"/>
    <w:rsid w:val="00FC0CF0"/>
    <w:rsid w:val="00FD1056"/>
    <w:rsid w:val="00FD4615"/>
    <w:rsid w:val="00FE080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6FC95"/>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 w:type="character" w:styleId="UnresolvedMention">
    <w:name w:val="Unresolved Mention"/>
    <w:basedOn w:val="DefaultParagraphFont"/>
    <w:uiPriority w:val="99"/>
    <w:semiHidden/>
    <w:unhideWhenUsed/>
    <w:rsid w:val="00E46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jintranet5/sites/qms/GLI%20Document%20Library/Compliance/Jurisdictional%20Checkoffs/Australian%20Standards/National%20Standard%20Rev%2010.2%20(SA).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njintranet5/sites/qms/GLI%20Document%20Library/Compliance/Jurisdictional%20Checkoffs/Australian%20Standards/National%20Standard%20Rev%2010.1%20(SA).pdf" TargetMode="External"/><Relationship Id="rId17" Type="http://schemas.openxmlformats.org/officeDocument/2006/relationships/hyperlink" Target="mailto:sknowlton@everi.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ira.austin.mgam/browse/GRE-11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jintranet5/sites/qms/GLI%20Document%20Library/Compliance/Jurisdictional%20Checkoffs/Australian%20Standards/INACTIVE%20-%20National%20Standard%20Rev%2010.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jira.austin.mgam/browse/GRE-11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jintranet5/sites/qms/GLI%20Document%20Library/Compliance/Jurisdictional%20Checkoffs/Australian%20Standards/National%20Standard%20Rev%2010.3%20(SA).pdf"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30FEA2BCC405BA0D418318295C1ED"/>
        <w:category>
          <w:name w:val="General"/>
          <w:gallery w:val="placeholder"/>
        </w:category>
        <w:types>
          <w:type w:val="bbPlcHdr"/>
        </w:types>
        <w:behaviors>
          <w:behavior w:val="content"/>
        </w:behaviors>
        <w:guid w:val="{650935BA-2EB9-43A3-A1C7-A7800C7FC2DF}"/>
      </w:docPartPr>
      <w:docPartBody>
        <w:p w:rsidR="00ED6639" w:rsidRDefault="002A0800" w:rsidP="002A0800">
          <w:pPr>
            <w:pStyle w:val="FB930FEA2BCC405BA0D418318295C1ED"/>
          </w:pPr>
          <w:r w:rsidRPr="00B73472">
            <w:rPr>
              <w:rStyle w:val="PlaceholderText"/>
            </w:rPr>
            <w:t>Choose an item.</w:t>
          </w:r>
        </w:p>
      </w:docPartBody>
    </w:docPart>
    <w:docPart>
      <w:docPartPr>
        <w:name w:val="68BDE04A58DB484CBC83D8FA82599D83"/>
        <w:category>
          <w:name w:val="General"/>
          <w:gallery w:val="placeholder"/>
        </w:category>
        <w:types>
          <w:type w:val="bbPlcHdr"/>
        </w:types>
        <w:behaviors>
          <w:behavior w:val="content"/>
        </w:behaviors>
        <w:guid w:val="{6CA8B86C-D883-4056-A3EE-1140F9BDA3EB}"/>
      </w:docPartPr>
      <w:docPartBody>
        <w:p w:rsidR="00ED6639" w:rsidRDefault="002A0800" w:rsidP="002A0800">
          <w:pPr>
            <w:pStyle w:val="68BDE04A58DB484CBC83D8FA82599D83"/>
          </w:pPr>
          <w:r w:rsidRPr="00B73472">
            <w:rPr>
              <w:rStyle w:val="PlaceholderText"/>
            </w:rPr>
            <w:t>Choose an item.</w:t>
          </w:r>
        </w:p>
      </w:docPartBody>
    </w:docPart>
    <w:docPart>
      <w:docPartPr>
        <w:name w:val="5B15CC46C13547E2B9408FCD1A754211"/>
        <w:category>
          <w:name w:val="General"/>
          <w:gallery w:val="placeholder"/>
        </w:category>
        <w:types>
          <w:type w:val="bbPlcHdr"/>
        </w:types>
        <w:behaviors>
          <w:behavior w:val="content"/>
        </w:behaviors>
        <w:guid w:val="{F1C22891-25A2-4C4A-9ADC-F8CD656490C2}"/>
      </w:docPartPr>
      <w:docPartBody>
        <w:p w:rsidR="00CA2A8F" w:rsidRDefault="00F14B50" w:rsidP="00F14B50">
          <w:pPr>
            <w:pStyle w:val="5B15CC46C13547E2B9408FCD1A754211"/>
          </w:pPr>
          <w:r w:rsidRPr="00B73472">
            <w:rPr>
              <w:rStyle w:val="PlaceholderText"/>
            </w:rPr>
            <w:t>Choose an item.</w:t>
          </w:r>
        </w:p>
      </w:docPartBody>
    </w:docPart>
    <w:docPart>
      <w:docPartPr>
        <w:name w:val="1592B2CBA87A4E78B6BC162DC59276CF"/>
        <w:category>
          <w:name w:val="General"/>
          <w:gallery w:val="placeholder"/>
        </w:category>
        <w:types>
          <w:type w:val="bbPlcHdr"/>
        </w:types>
        <w:behaviors>
          <w:behavior w:val="content"/>
        </w:behaviors>
        <w:guid w:val="{039D68DE-4D2C-4DE7-A80E-B4ADD664AFB0}"/>
      </w:docPartPr>
      <w:docPartBody>
        <w:p w:rsidR="00CA2A8F" w:rsidRDefault="00F14B50" w:rsidP="00F14B50">
          <w:pPr>
            <w:pStyle w:val="1592B2CBA87A4E78B6BC162DC59276CF"/>
          </w:pPr>
          <w:r w:rsidRPr="00B73472">
            <w:rPr>
              <w:rStyle w:val="PlaceholderText"/>
            </w:rPr>
            <w:t>Choose an item.</w:t>
          </w:r>
        </w:p>
      </w:docPartBody>
    </w:docPart>
    <w:docPart>
      <w:docPartPr>
        <w:name w:val="19FF600A41904489A6E031F03DC0A437"/>
        <w:category>
          <w:name w:val="General"/>
          <w:gallery w:val="placeholder"/>
        </w:category>
        <w:types>
          <w:type w:val="bbPlcHdr"/>
        </w:types>
        <w:behaviors>
          <w:behavior w:val="content"/>
        </w:behaviors>
        <w:guid w:val="{D1AFE963-066E-45CE-80BC-AE2CD843D1D6}"/>
      </w:docPartPr>
      <w:docPartBody>
        <w:p w:rsidR="00CA2A8F" w:rsidRDefault="00F14B50" w:rsidP="00F14B50">
          <w:pPr>
            <w:pStyle w:val="19FF600A41904489A6E031F03DC0A437"/>
          </w:pPr>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360DF"/>
    <w:rsid w:val="00142451"/>
    <w:rsid w:val="00160160"/>
    <w:rsid w:val="001A5EF9"/>
    <w:rsid w:val="001D03E3"/>
    <w:rsid w:val="001F3D20"/>
    <w:rsid w:val="0024659A"/>
    <w:rsid w:val="00281639"/>
    <w:rsid w:val="002A0800"/>
    <w:rsid w:val="002A5429"/>
    <w:rsid w:val="0030198B"/>
    <w:rsid w:val="00301D3B"/>
    <w:rsid w:val="00302CDE"/>
    <w:rsid w:val="00306869"/>
    <w:rsid w:val="00323CF2"/>
    <w:rsid w:val="00352F90"/>
    <w:rsid w:val="003F2B7B"/>
    <w:rsid w:val="00472396"/>
    <w:rsid w:val="00472650"/>
    <w:rsid w:val="00504819"/>
    <w:rsid w:val="00523B48"/>
    <w:rsid w:val="0053369D"/>
    <w:rsid w:val="00560B8E"/>
    <w:rsid w:val="005C4331"/>
    <w:rsid w:val="006140E8"/>
    <w:rsid w:val="0062315A"/>
    <w:rsid w:val="006B5136"/>
    <w:rsid w:val="00770419"/>
    <w:rsid w:val="0078601C"/>
    <w:rsid w:val="007C42AD"/>
    <w:rsid w:val="007F111C"/>
    <w:rsid w:val="00863816"/>
    <w:rsid w:val="00872BB5"/>
    <w:rsid w:val="008C0B27"/>
    <w:rsid w:val="008E27CB"/>
    <w:rsid w:val="008F20CA"/>
    <w:rsid w:val="008F3D86"/>
    <w:rsid w:val="008F61FC"/>
    <w:rsid w:val="008F6A56"/>
    <w:rsid w:val="00904397"/>
    <w:rsid w:val="009A56CA"/>
    <w:rsid w:val="009B58CA"/>
    <w:rsid w:val="009C7445"/>
    <w:rsid w:val="009F03A3"/>
    <w:rsid w:val="009F50B8"/>
    <w:rsid w:val="009F6EEC"/>
    <w:rsid w:val="00A010DC"/>
    <w:rsid w:val="00A05F60"/>
    <w:rsid w:val="00A37336"/>
    <w:rsid w:val="00A520AF"/>
    <w:rsid w:val="00A67AA5"/>
    <w:rsid w:val="00A91E4A"/>
    <w:rsid w:val="00AC6CC0"/>
    <w:rsid w:val="00B25C5F"/>
    <w:rsid w:val="00B47629"/>
    <w:rsid w:val="00B81EB4"/>
    <w:rsid w:val="00BA2D70"/>
    <w:rsid w:val="00C21C0F"/>
    <w:rsid w:val="00C30B86"/>
    <w:rsid w:val="00C40D21"/>
    <w:rsid w:val="00C45C70"/>
    <w:rsid w:val="00C5328C"/>
    <w:rsid w:val="00C75989"/>
    <w:rsid w:val="00C93A77"/>
    <w:rsid w:val="00CA2A8F"/>
    <w:rsid w:val="00CA3C65"/>
    <w:rsid w:val="00CD3272"/>
    <w:rsid w:val="00CD6EFC"/>
    <w:rsid w:val="00CE453E"/>
    <w:rsid w:val="00CF2123"/>
    <w:rsid w:val="00D409EF"/>
    <w:rsid w:val="00D67F45"/>
    <w:rsid w:val="00DB0E53"/>
    <w:rsid w:val="00E03EB1"/>
    <w:rsid w:val="00E23296"/>
    <w:rsid w:val="00E67DDE"/>
    <w:rsid w:val="00EC4E40"/>
    <w:rsid w:val="00EC6FC8"/>
    <w:rsid w:val="00ED6639"/>
    <w:rsid w:val="00F0362F"/>
    <w:rsid w:val="00F12B6A"/>
    <w:rsid w:val="00F14B50"/>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B50"/>
    <w:rPr>
      <w:color w:val="808080"/>
    </w:rPr>
  </w:style>
  <w:style w:type="paragraph" w:customStyle="1" w:styleId="FB930FEA2BCC405BA0D418318295C1ED">
    <w:name w:val="FB930FEA2BCC405BA0D418318295C1ED"/>
    <w:rsid w:val="002A0800"/>
    <w:pPr>
      <w:spacing w:after="160" w:line="259" w:lineRule="auto"/>
    </w:pPr>
  </w:style>
  <w:style w:type="paragraph" w:customStyle="1" w:styleId="68BDE04A58DB484CBC83D8FA82599D83">
    <w:name w:val="68BDE04A58DB484CBC83D8FA82599D83"/>
    <w:rsid w:val="002A0800"/>
    <w:pPr>
      <w:spacing w:after="160" w:line="259" w:lineRule="auto"/>
    </w:pPr>
  </w:style>
  <w:style w:type="paragraph" w:customStyle="1" w:styleId="5398D77532884B3CBC9869C7F644FC9E">
    <w:name w:val="5398D77532884B3CBC9869C7F644FC9E"/>
    <w:rsid w:val="002A0800"/>
    <w:pPr>
      <w:spacing w:after="160" w:line="259" w:lineRule="auto"/>
    </w:pPr>
  </w:style>
  <w:style w:type="paragraph" w:customStyle="1" w:styleId="5B15CC46C13547E2B9408FCD1A754211">
    <w:name w:val="5B15CC46C13547E2B9408FCD1A754211"/>
    <w:rsid w:val="00F14B50"/>
    <w:pPr>
      <w:spacing w:after="160" w:line="259" w:lineRule="auto"/>
    </w:pPr>
  </w:style>
  <w:style w:type="paragraph" w:customStyle="1" w:styleId="1592B2CBA87A4E78B6BC162DC59276CF">
    <w:name w:val="1592B2CBA87A4E78B6BC162DC59276CF"/>
    <w:rsid w:val="00F14B50"/>
    <w:pPr>
      <w:spacing w:after="160" w:line="259" w:lineRule="auto"/>
    </w:pPr>
  </w:style>
  <w:style w:type="paragraph" w:customStyle="1" w:styleId="19FF600A41904489A6E031F03DC0A437">
    <w:name w:val="19FF600A41904489A6E031F03DC0A437"/>
    <w:rsid w:val="00F14B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Props1.xml><?xml version="1.0" encoding="utf-8"?>
<ds:datastoreItem xmlns:ds="http://schemas.openxmlformats.org/officeDocument/2006/customXml" ds:itemID="{40C12B84-94E8-4169-A90E-4F51287FB950}">
  <ds:schemaRefs>
    <ds:schemaRef ds:uri="http://schemas.microsoft.com/sharepoint/v3/contenttype/forms"/>
  </ds:schemaRefs>
</ds:datastoreItem>
</file>

<file path=customXml/itemProps2.xml><?xml version="1.0" encoding="utf-8"?>
<ds:datastoreItem xmlns:ds="http://schemas.openxmlformats.org/officeDocument/2006/customXml" ds:itemID="{347F1AAA-E17F-479B-A2EF-FF18CCD87B87}">
  <ds:schemaRefs>
    <ds:schemaRef ds:uri="http://schemas.openxmlformats.org/officeDocument/2006/bibliography"/>
  </ds:schemaRefs>
</ds:datastoreItem>
</file>

<file path=customXml/itemProps3.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7</cp:revision>
  <cp:lastPrinted>2016-07-22T05:16:00Z</cp:lastPrinted>
  <dcterms:created xsi:type="dcterms:W3CDTF">2022-10-31T21:37:00Z</dcterms:created>
  <dcterms:modified xsi:type="dcterms:W3CDTF">2022-11-01T19:31:00Z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