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8.png" ContentType="image/png"/>
  <Override PartName="/word/media/rId50.png" ContentType="image/png"/>
  <Override PartName="/word/media/rId43.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2024-06-11</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30"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p>
      <w:pPr>
        <w:pStyle w:val="BodyText"/>
      </w:pPr>
      <w:r>
        <w:t xml:space="preserve">PICS of sites and footprints?</w:t>
      </w:r>
    </w:p>
    <w:p>
      <w:pPr>
        <w:pStyle w:val="BodyText"/>
      </w:pPr>
      <w:r>
        <w:t xml:space="preserve">CLIMATE NORMALS?</w:t>
      </w:r>
    </w:p>
    <w:bookmarkEnd w:id="22"/>
    <w:bookmarkStart w:id="23" w:name="eddy-covariance-measurements"/>
    <w:p>
      <w:pPr>
        <w:pStyle w:val="Heading2"/>
      </w:pPr>
      <w:r>
        <w:t xml:space="preserve">2.2 Eddy covariance measurements</w:t>
      </w:r>
    </w:p>
    <w:p>
      <w:pPr>
        <w:pStyle w:val="FirstParagraph"/>
      </w:pPr>
      <w:r>
        <w:t xml:space="preserve">The eddy covariance method was used to measure continuous, ecosystem-scale fluxes of CO2, CH4, water and energy over the two prairie wetland sites over two full years (June 1, 2021 to June 1, 2023). A flux tower was constructed at each of the sites with sensors mounted at ~4.1m at both sites. These sensors include a 3-dimensional ultrasonic anemometer (RM Young 81000, RM Young Inc.), an open path CO2/H2O infrared gas analyzer (IRGA) (LI-7500A, LI-COR Inc.), and an open path CH4 IRGA (LI-7700, LI-COR Inc.). Data was logged using LI-COR’s Synchronization, Management and Real Time Flux system (Smartflux 3) software and onsite data pre-processing was done using a LI-COR 7550 Analyzer Interface Unit. Final re-processing of the raw flux data measured were processed in EddyPro (LI-COR Inc., US) with an averaging time of 30 minutes. Statistical tests for raw data screening were conducted to remove spikes, data outside plausible limits, skewness and kurtosis (Vickers &amp; Mahrt, 1997). To correct the sonic anemometer tilt relative to the streamline, the double rotation method was applied (Wilczak et al., 2001). Block averaging was used for calculating the turbulent fluctuations, in which the mean values were removed from the scalar timeseries data. Covariance maximization was then used to correct for time lags arising from sensor separation (Fan et al., 1990). Other corrections applied to the data included the WPL correction to account for the effects of air density changes during the averaging period (Webb et al., 1980) and spectral corrections for low-pass and high-pass filtering (Moncrieff et al., 2004).</w:t>
      </w:r>
    </w:p>
    <w:bookmarkEnd w:id="23"/>
    <w:bookmarkStart w:id="24" w:name="supporting-measurements"/>
    <w:p>
      <w:pPr>
        <w:pStyle w:val="Heading2"/>
      </w:pPr>
      <w:r>
        <w:t xml:space="preserve">2.3 Supporting measurements</w:t>
      </w:r>
    </w:p>
    <w:p>
      <w:pPr>
        <w:pStyle w:val="FirstParagraph"/>
      </w:pPr>
      <w:r>
        <w:t xml:space="preserve">Meteorological variables were measured continuously throughout the study period. Incoming and outgoing shortwave and longwave radiation were measured using a net radiometer (CNR1, Kipp and Zonen, Holland), and incoming and outgoing photosynthetically active radiation (PAR) were measured using a pair of quantum sensors (LI-190, LI-COR, USA) at a height of 3.44 m. Air temperature (TA) and relative humidity (RH) were measured at 2 m (HMP-35 A, Vaisala Oyj, Vantaa, Finland) and precipitation was measured at the EC tower with a tipping bucket rain gauge (TR-525M, Texas Electronics, Dallas, TX, USA). Thermocouples were installed within 3-5 m from the tower to measure soil temperatures (TS) at depths of -10, +10 cm relative to the sediment water -interface. Additionally, a third thermocouple was installed at approximately half the water column depth at each site (HOGG - 25 cm and YOUNG – 40 cm). For the WTD measurements we used Odyssey capacitance water-level loggers (Ody Ltd, 2013). WTD measurements were not collected during the winter while wetlands were frozen. Meteorological measurements were recorded every second (confirm) and averaged over 30-min periods.</w:t>
      </w:r>
    </w:p>
    <w:bookmarkEnd w:id="24"/>
    <w:bookmarkStart w:id="25" w:name="flux-data-processing"/>
    <w:p>
      <w:pPr>
        <w:pStyle w:val="Heading2"/>
      </w:pPr>
      <w:r>
        <w:t xml:space="preserve">2.4 Flux data processing</w:t>
      </w:r>
    </w:p>
    <w:p>
      <w:pPr>
        <w:pStyle w:val="FirstParagraph"/>
      </w:pPr>
      <w:r>
        <w:t xml:space="preserve">Filtering of the flux and meteorological data first involved removing data that fell outside of realistic minimum and maximum ranges. Next we removed data coming from poor sensor conditions. These included conditions when the Smartflux system voltage fell below 0 V or rose above 30 V, Data Retention Module voltage fell below 0V or above 50V, Data Acquisition Module temperature fell outside of -60 to 60˚C, and when the LI7700 signal strengths fell below 20%. Additionally, we filtered flux data from measurements when wind directions were between 330˚ and 30˚ to remove turbulence interference from the flux towers which are positioned north of the EC sensors.</w:t>
      </w:r>
    </w:p>
    <w:p>
      <w:pPr>
        <w:pStyle w:val="BodyText"/>
      </w:pPr>
      <w:r>
        <w:t xml:space="preserve">The half-hourly fluxes output from EddyPro were further filtered to exclude low-quality records and measurements made under conditions in which EC assumptions were not fulfilled. The half-hourly fluxes were marked with quality flags following a standard developed by Foken et al. (2004), and records flagged as</w:t>
      </w:r>
      <w:r>
        <w:t xml:space="preserve"> </w:t>
      </w:r>
      <w:r>
        <w:t xml:space="preserve">“</w:t>
      </w:r>
      <w:r>
        <w:t xml:space="preserve">2</w:t>
      </w:r>
      <w:r>
        <w:t xml:space="preserve">”</w:t>
      </w:r>
      <w:r>
        <w:t xml:space="preserve"> </w:t>
      </w:r>
      <w:r>
        <w:t xml:space="preserve">were discarded. Finally, a minimum friction velocity threshold was applied to remove EC measurements under insufficient turbulence conditions. Friction velocity thresholds were estimated with moving point tests via the REddyProc v 2.2.0 R package (Wuzler et al., 2018). Half-hourly flux measurements whose friction velocities fell beneath the threshold were removed from the final data set.</w:t>
      </w:r>
    </w:p>
    <w:p>
      <w:pPr>
        <w:pStyle w:val="BodyText"/>
      </w:pPr>
      <w:r>
        <w:t xml:space="preserve">NEE, H, and LE, which are strongly controlled by site-level environmental conditions, were gap-filled with the Marginal Distribution Sampling (MDS) technique using REddyProc (Reichstein et al., 2005; Wutzler et al., 2018). Missing measurements in these fluxes were modelled with data calculated by their correlation with their driver variables: Net radiation, TA, and vapour pressure deficit, with gaps in meteorological variables filled by merging data from nearby Environment and Climate Change Canada climate stations. After gap-filling, NEE was partitioned into its two components (i.e., GPP and Reco) using the nighttime partitioning approach implememted using REddyProc (Reichstein et al., 2005; Wutzler et al., 2018).</w:t>
      </w:r>
    </w:p>
    <w:p>
      <w:pPr>
        <w:pStyle w:val="BodyText"/>
      </w:pPr>
      <w:r>
        <w:t xml:space="preserve">FCH4 are more complex to model due to their non-stationary behaviour and temporally non-uniform relationships with their driver variables (Knox et al., 2021; Kim et al., 2002). Random forest modelling was used to gap-fill CH4 following the methods described in Kim et al. (2002). The predictor variables used to train the random forest models were friction velocity, net ecosystem exchange (NEE), LE, H, incoming shortwave radiative flux, TA, relative humidity, vapour pressure deficit, day of year, wind direction, and TS at 40 cm above, 10 cm above and 10 cm below the sediment-water interface. The random forest variable importance graph for MBPPW1 (Figure 6) shows that H, NEE, and 10 cm below sediment-water interface TS were found to be the strongest drivers of FCH4 at MBPPW1.</w:t>
      </w:r>
    </w:p>
    <w:bookmarkEnd w:id="25"/>
    <w:bookmarkStart w:id="26" w:name="uncertainty-analysis"/>
    <w:p>
      <w:pPr>
        <w:pStyle w:val="Heading2"/>
      </w:pPr>
      <w:r>
        <w:t xml:space="preserve">2.5 Uncertainty analysis</w:t>
      </w:r>
    </w:p>
    <w:bookmarkEnd w:id="26"/>
    <w:bookmarkStart w:id="28" w:name="net-c-and-ghg-balance-estimation"/>
    <w:p>
      <w:pPr>
        <w:pStyle w:val="Heading2"/>
      </w:pPr>
      <w:r>
        <w:t xml:space="preserve">2.6 Net C and GHG balance estimation</w:t>
      </w:r>
    </w:p>
    <w:bookmarkStart w:id="27" w:name="water-sampling-and-analysis"/>
    <w:p>
      <w:pPr>
        <w:pStyle w:val="Heading3"/>
      </w:pPr>
      <w:r>
        <w:t xml:space="preserve">2.6.1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p>
      <w:pPr>
        <w:pStyle w:val="BodyText"/>
      </w:pPr>
      <w:r>
        <w:t xml:space="preserve">samples were collected on xxx days and linearly interpolated between observations</w:t>
      </w:r>
    </w:p>
    <w:bookmarkEnd w:id="27"/>
    <w:bookmarkEnd w:id="28"/>
    <w:bookmarkStart w:id="29" w:name="statistical-methods"/>
    <w:p>
      <w:pPr>
        <w:pStyle w:val="Heading2"/>
      </w:pPr>
      <w:r>
        <w:t xml:space="preserve">2.7 Statistical methods</w:t>
      </w:r>
    </w:p>
    <w:p>
      <w:pPr>
        <w:pStyle w:val="FirstParagraph"/>
      </w:pPr>
      <w:r>
        <w:t xml:space="preserve">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pPr>
        <w:pStyle w:val="BodyText"/>
      </w:pPr>
      <w:r>
        <w:t xml:space="preserve">Multivariate associations of water quality parameters across sites were analyzed using principal component analysis (PCA). All variables were centered and scaled, and PCA was done using the</w:t>
      </w:r>
      <w:r>
        <w:t xml:space="preserve"> </w:t>
      </w:r>
      <w:r>
        <w:t xml:space="preserve">‘</w:t>
      </w:r>
      <w:r>
        <w:t xml:space="preserve">prcomp</w:t>
      </w:r>
      <w:r>
        <w:t xml:space="preserve">’</w:t>
      </w:r>
      <w:r>
        <w:t xml:space="preserve"> </w:t>
      </w:r>
      <w:r>
        <w:t xml:space="preserve">function in base R.</w:t>
      </w:r>
    </w:p>
    <w:p>
      <w:pPr>
        <w:pStyle w:val="BodyText"/>
      </w:pPr>
      <w:r>
        <w:t xml:space="preserve">To investigate the environmental factors controlling differences in FCH4 across sites, we trained random forest (RF) models on daily mean FCH4 using common meteorological and biological drivers, and a subset of water quality parameters. Meteorological variables included daily mean TA, WTD, VPD, u*, and daily GPP was included as the biological predictor. As certain water quality parameters were highly correlated (Figure</w:t>
      </w:r>
      <w:r>
        <w:t xml:space="preserve"> </w:t>
      </w:r>
      <w:hyperlink w:anchor="fig-PCA">
        <w:r>
          <w:rPr>
            <w:rStyle w:val="Hyperlink"/>
          </w:rPr>
          <w:t xml:space="preserve">3</w:t>
        </w:r>
      </w:hyperlink>
      <w:r>
        <w:t xml:space="preserve">),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w:t>
      </w:r>
      <w:r>
        <w:t xml:space="preserve"> </w:t>
      </w:r>
      <m:oMath>
        <m:r>
          <m:t>N</m:t>
        </m:r>
        <m:sSubSup>
          <m:e>
            <m:r>
              <m:t>H</m:t>
            </m:r>
          </m:e>
          <m:sub>
            <m:r>
              <m:t>4</m:t>
            </m:r>
          </m:sub>
          <m:sup>
            <m:r>
              <m:rPr>
                <m:sty m:val="p"/>
              </m:rPr>
              <m:t>+</m:t>
            </m:r>
          </m:sup>
        </m:sSubSup>
      </m:oMath>
      <w:r>
        <w:t xml:space="preserve">,</w:t>
      </w:r>
      <w:r>
        <w:t xml:space="preserve"> </w:t>
      </w:r>
      <m:oMath>
        <m:r>
          <m:t>N</m:t>
        </m:r>
        <m:sSubSup>
          <m:e>
            <m:r>
              <m:t>O</m:t>
            </m:r>
          </m:e>
          <m:sub>
            <m:r>
              <m:t>3</m:t>
            </m:r>
          </m:sub>
          <m:sup>
            <m:r>
              <m:rPr>
                <m:sty m:val="p"/>
              </m:rPr>
              <m:t>−</m:t>
            </m:r>
          </m:sup>
        </m:sSubSup>
      </m:oMath>
      <w:r>
        <w:t xml:space="preserve"> </w:t>
      </w:r>
      <w:r>
        <w:t xml:space="preserve">(as (as</w:t>
      </w:r>
      <w:r>
        <w:t xml:space="preserve"> </w:t>
      </w:r>
      <m:oMath>
        <m:r>
          <m:t>N</m:t>
        </m:r>
        <m:sSubSup>
          <m:e>
            <m:r>
              <m:t>O</m:t>
            </m:r>
          </m:e>
          <m:sub>
            <m:r>
              <m:t>3</m:t>
            </m:r>
          </m:sub>
          <m:sup>
            <m:r>
              <m:rPr>
                <m:sty m:val="p"/>
              </m:rPr>
              <m:t>−</m:t>
            </m:r>
          </m:sup>
        </m:sSubSup>
      </m:oMath>
      <w:r>
        <w:t xml:space="preserve"> </w:t>
      </w:r>
      <w:r>
        <w:t xml:space="preserve">&amp;</w:t>
      </w:r>
      <w:r>
        <w:t xml:space="preserve"> </w:t>
      </w:r>
      <m:oMath>
        <m:r>
          <m:t>N</m:t>
        </m:r>
        <m:sSubSup>
          <m:e>
            <m:r>
              <m:t>O</m:t>
            </m:r>
          </m:e>
          <m:sub>
            <m:r>
              <m:t>2</m:t>
            </m:r>
          </m:sub>
          <m:sup>
            <m:r>
              <m:rPr>
                <m:sty m:val="p"/>
              </m:rPr>
              <m:t>−</m:t>
            </m:r>
          </m:sup>
        </m:sSubSup>
      </m:oMath>
      <w:r>
        <w:t xml:space="preserve">)), and pH were included in the RF analysis.</w:t>
      </w:r>
    </w:p>
    <w:p>
      <w:pPr>
        <w:pStyle w:val="BodyText"/>
      </w:pPr>
      <w:r>
        <w:t xml:space="preserve">The RF algorithm creates bootstrapped data sets and then generates independent regression trees using randomly sampled variables at each split node. Then, RF aggregates the prediction results of the individual trees. Random forests were fit using the</w:t>
      </w:r>
      <w:r>
        <w:t xml:space="preserve"> </w:t>
      </w:r>
      <w:r>
        <w:t xml:space="preserve">‘</w:t>
      </w:r>
      <w:r>
        <w:t xml:space="preserve">caret</w:t>
      </w:r>
      <w:r>
        <w:t xml:space="preserve">’</w:t>
      </w:r>
      <w:r>
        <w:t xml:space="preserve"> </w:t>
      </w:r>
      <w:r>
        <w:t xml:space="preserve">(Kuhn 2017) and</w:t>
      </w:r>
      <w:r>
        <w:t xml:space="preserve"> </w:t>
      </w:r>
      <w:r>
        <w:t xml:space="preserve">‘</w:t>
      </w:r>
      <w:r>
        <w:t xml:space="preserve">ranger</w:t>
      </w:r>
      <w:r>
        <w:t xml:space="preserve">’</w:t>
      </w:r>
      <w:r>
        <w:t xml:space="preserve"> </w:t>
      </w:r>
      <w:r>
        <w:t xml:space="preserve">(R (Wright &amp; Ziegler, 2017; R Core Team, 2019) packages. Similar to Knox et al. (2021), each RF was trained on all available data from both sites (i.e., the dataset was not split into training and test data), and out-of-bag data were used for hyperparameter tuning. The inclusion of all available data is justified as our goal was to assess dominant predictors of FCH4 across sites rather than develop a predictive model that can be applied to new conditions, and 2) RF is already robust to outliers (Zhang &amp; Lu, 2012). We used an ensemble of 500 trees, and hyperparameter tuning was performed for mtry (the number of predictors randomly sampled at each devision node) and min.node.size. Predictors were ranked using permutation importance, which avoids bias from other approaches (Strobl et al., 2007), and importance values were scaled for comparison between sites (Knox et al., 2021). Additionally, Partial Dependence Plots (PDP), generated using the</w:t>
      </w:r>
      <w:r>
        <w:t xml:space="preserve"> </w:t>
      </w:r>
      <w:r>
        <w:t xml:space="preserve">‘</w:t>
      </w:r>
      <w:r>
        <w:t xml:space="preserve">pdp</w:t>
      </w:r>
      <w:r>
        <w:t xml:space="preserve">’</w:t>
      </w:r>
      <w:r>
        <w:t xml:space="preserve"> </w:t>
      </w:r>
      <w:r>
        <w:t xml:space="preserve">package, were used to investigate the marginal contribution of different predictors on FCH4.</w:t>
      </w:r>
    </w:p>
    <w:bookmarkEnd w:id="29"/>
    <w:bookmarkEnd w:id="30"/>
    <w:bookmarkStart w:id="49" w:name="results"/>
    <w:p>
      <w:pPr>
        <w:pStyle w:val="Heading1"/>
      </w:pPr>
      <w:r>
        <w:t xml:space="preserve">3. Results</w:t>
      </w:r>
    </w:p>
    <w:bookmarkStart w:id="35" w:name="meteorology-and-hydrological-conditions"/>
    <w:p>
      <w:pPr>
        <w:pStyle w:val="Heading2"/>
      </w:pPr>
      <w:r>
        <w:t xml:space="preserve">3.1 Meteorology and hydrological conditions</w:t>
      </w:r>
    </w:p>
    <w:p>
      <w:pPr>
        <w:pStyle w:val="FirstParagraph"/>
      </w:pPr>
      <w:r>
        <w:t xml:space="preserve">Figure</w:t>
      </w:r>
      <w:r>
        <w:t xml:space="preserve"> </w:t>
      </w:r>
      <w:hyperlink w:anchor="fig-met_ts">
        <w:r>
          <w:rPr>
            <w:rStyle w:val="Hyperlink"/>
          </w:rPr>
          <w:t xml:space="preserve">1</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met_ts"/>
          <w:p>
            <w:pPr>
              <w:jc w:val="center"/>
            </w:pPr>
            <w:r>
              <w:drawing>
                <wp:inline>
                  <wp:extent cx="4331217" cy="4331217"/>
                  <wp:effectExtent b="0" l="0" r="0" t="0"/>
                  <wp:docPr descr="" title="" id="32" name="Picture"/>
                  <a:graphic>
                    <a:graphicData uri="http://schemas.openxmlformats.org/drawingml/2006/picture">
                      <pic:pic>
                        <pic:nvPicPr>
                          <pic:cNvPr descr="../figures/Met_ts.png" id="33" name="Picture"/>
                          <pic:cNvPicPr>
                            <a:picLocks noChangeArrowheads="1" noChangeAspect="1"/>
                          </pic:cNvPicPr>
                        </pic:nvPicPr>
                        <pic:blipFill>
                          <a:blip r:embed="rId31"/>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met_ts.</w:t>
            </w:r>
          </w:p>
          <w:bookmarkEnd w:id="34"/>
        </w:tc>
      </w:tr>
    </w:tbl>
    <w:p>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w:t>
      </w:r>
      <w:r>
        <w:t xml:space="preserve"> </w:t>
      </w:r>
      <w:r>
        <w:rPr>
          <w:bCs/>
          <w:b/>
        </w:rPr>
        <w:t xml:space="preserve">?@tbl-MET</w:t>
      </w:r>
      <w:r>
        <w:t xml:space="preserve">; Figure</w:t>
      </w:r>
      <w:r>
        <w:t xml:space="preserve"> </w:t>
      </w:r>
      <w:hyperlink w:anchor="fig-met_ts">
        <w:r>
          <w:rPr>
            <w:rStyle w:val="Hyperlink"/>
          </w:rPr>
          <w:t xml:space="preserve">1</w:t>
        </w:r>
      </w:hyperlink>
      <w:r>
        <w:t xml:space="preserve">). Mean growing season temperatures did not differ significantly between years at the 5% significance level, but TA was significantly higher in the 2021 than 2022 growing season at the 10% significance level (Table</w:t>
      </w:r>
      <w:r>
        <w:t xml:space="preserve"> </w:t>
      </w:r>
      <w:r>
        <w:rPr>
          <w:bCs/>
          <w:b/>
        </w:rPr>
        <w:t xml:space="preserve">?@tbl-MET</w:t>
      </w:r>
      <w:r>
        <w:t xml:space="preserve">). Other meteorological variables did differ significantly between years at the 5% level, with higher daily precipitation and VPD observed in 2021 relative to 2022 (Table</w:t>
      </w:r>
      <w:r>
        <w:t xml:space="preserve"> </w:t>
      </w:r>
      <w:r>
        <w:rPr>
          <w:bCs/>
          <w:b/>
        </w:rPr>
        <w:t xml:space="preserve">?@tbl-MET</w:t>
      </w:r>
      <w:r>
        <w:t xml:space="preserv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17.3</w:t>
            </w:r>
          </w:p>
        </w:tc>
        <w:tc>
          <w:tcPr/>
          <w:p>
            <w:pPr>
              <w:pStyle w:val="Compact"/>
              <w:jc w:val="right"/>
            </w:pPr>
            <w:r>
              <w:t xml:space="preserve">8.5</w:t>
            </w:r>
          </w:p>
        </w:tc>
        <w:tc>
          <w:tcPr/>
          <w:p>
            <w:pPr>
              <w:pStyle w:val="Compact"/>
              <w:jc w:val="right"/>
            </w:pPr>
            <w:r>
              <w:t xml:space="preserve">440</w:t>
            </w:r>
          </w:p>
        </w:tc>
        <w:tc>
          <w:tcPr/>
          <w:p>
            <w:pPr>
              <w:pStyle w:val="Compact"/>
              <w:jc w:val="right"/>
            </w:pPr>
            <w:r>
              <w:t xml:space="preserve">246.2</w:t>
            </w:r>
          </w:p>
        </w:tc>
        <w:tc>
          <w:tcPr/>
          <w:p>
            <w:pPr>
              <w:pStyle w:val="Compact"/>
              <w:jc w:val="right"/>
            </w:pPr>
            <w:r>
              <w:t xml:space="preserve">235.8</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16.4</w:t>
            </w:r>
          </w:p>
        </w:tc>
        <w:tc>
          <w:tcPr/>
          <w:p>
            <w:pPr>
              <w:pStyle w:val="Compact"/>
              <w:jc w:val="right"/>
            </w:pPr>
            <w:r>
              <w:t xml:space="preserve">6.9</w:t>
            </w:r>
          </w:p>
        </w:tc>
        <w:tc>
          <w:tcPr/>
          <w:p>
            <w:pPr>
              <w:pStyle w:val="Compact"/>
              <w:jc w:val="right"/>
            </w:pPr>
            <w:r>
              <w:t xml:space="preserve">449</w:t>
            </w:r>
          </w:p>
        </w:tc>
        <w:tc>
          <w:tcPr/>
          <w:p>
            <w:pPr>
              <w:pStyle w:val="Compact"/>
              <w:jc w:val="right"/>
            </w:pPr>
            <w:r>
              <w:t xml:space="preserve">178.2</w:t>
            </w:r>
          </w:p>
        </w:tc>
        <w:tc>
          <w:tcPr/>
          <w:p>
            <w:pPr>
              <w:pStyle w:val="Compact"/>
              <w:jc w:val="right"/>
            </w:pPr>
            <w:r>
              <w:t xml:space="preserve">438.4</w:t>
            </w:r>
          </w:p>
        </w:tc>
      </w:tr>
      <w:tr>
        <w:tc>
          <w:tcPr/>
          <w:p>
            <w:pPr>
              <w:pStyle w:val="Compact"/>
              <w:jc w:val="left"/>
            </w:pPr>
            <w:r>
              <w:t xml:space="preserve">Hogg</w:t>
            </w:r>
          </w:p>
        </w:tc>
        <w:tc>
          <w:tcPr/>
          <w:p>
            <w:pPr>
              <w:pStyle w:val="Compact"/>
              <w:jc w:val="right"/>
            </w:pPr>
            <w:r>
              <w:t xml:space="preserve">2023</w:t>
            </w:r>
          </w:p>
        </w:tc>
        <w:tc>
          <w:tcPr/>
          <w:p>
            <w:pPr>
              <w:pStyle w:val="Compact"/>
              <w:jc w:val="right"/>
            </w:pPr>
            <w:r>
              <w:t xml:space="preserve">-4.3</w:t>
            </w:r>
          </w:p>
        </w:tc>
        <w:tc>
          <w:tcPr/>
          <w:p>
            <w:pPr>
              <w:pStyle w:val="Compact"/>
              <w:jc w:val="right"/>
            </w:pPr>
            <w:r>
              <w:t xml:space="preserve">2.7</w:t>
            </w:r>
          </w:p>
        </w:tc>
        <w:tc>
          <w:tcPr/>
          <w:p>
            <w:pPr>
              <w:pStyle w:val="Compact"/>
              <w:jc w:val="right"/>
            </w:pPr>
            <w:r>
              <w:t xml:space="preserve">346</w:t>
            </w:r>
          </w:p>
        </w:tc>
        <w:tc>
          <w:tcPr/>
          <w:p>
            <w:pPr>
              <w:pStyle w:val="Compact"/>
              <w:jc w:val="right"/>
            </w:pPr>
            <w:r>
              <w:t xml:space="preserve">53.3</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17.1</w:t>
            </w:r>
          </w:p>
        </w:tc>
        <w:tc>
          <w:tcPr/>
          <w:p>
            <w:pPr>
              <w:pStyle w:val="Compact"/>
              <w:jc w:val="right"/>
            </w:pPr>
            <w:r>
              <w:t xml:space="preserve">8.3</w:t>
            </w:r>
          </w:p>
        </w:tc>
        <w:tc>
          <w:tcPr/>
          <w:p>
            <w:pPr>
              <w:pStyle w:val="Compact"/>
              <w:jc w:val="right"/>
            </w:pPr>
            <w:r>
              <w:t xml:space="preserve">438</w:t>
            </w:r>
          </w:p>
        </w:tc>
        <w:tc>
          <w:tcPr/>
          <w:p>
            <w:pPr>
              <w:pStyle w:val="Compact"/>
              <w:jc w:val="right"/>
            </w:pPr>
            <w:r>
              <w:t xml:space="preserve">254.9</w:t>
            </w:r>
          </w:p>
        </w:tc>
        <w:tc>
          <w:tcPr/>
          <w:p>
            <w:pPr>
              <w:pStyle w:val="Compact"/>
              <w:jc w:val="right"/>
            </w:pPr>
            <w:r>
              <w:t xml:space="preserve">481.8</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16.2</w:t>
            </w:r>
          </w:p>
        </w:tc>
        <w:tc>
          <w:tcPr/>
          <w:p>
            <w:pPr>
              <w:pStyle w:val="Compact"/>
              <w:jc w:val="right"/>
            </w:pPr>
            <w:r>
              <w:t xml:space="preserve">6.3</w:t>
            </w:r>
          </w:p>
        </w:tc>
        <w:tc>
          <w:tcPr/>
          <w:p>
            <w:pPr>
              <w:pStyle w:val="Compact"/>
              <w:jc w:val="right"/>
            </w:pPr>
            <w:r>
              <w:t xml:space="preserve">447</w:t>
            </w:r>
          </w:p>
        </w:tc>
        <w:tc>
          <w:tcPr/>
          <w:p>
            <w:pPr>
              <w:pStyle w:val="Compact"/>
              <w:jc w:val="right"/>
            </w:pPr>
            <w:r>
              <w:t xml:space="preserve">225.2</w:t>
            </w:r>
          </w:p>
        </w:tc>
        <w:tc>
          <w:tcPr/>
          <w:p>
            <w:pPr>
              <w:pStyle w:val="Compact"/>
              <w:jc w:val="right"/>
            </w:pPr>
            <w:r>
              <w:t xml:space="preserve">573.8</w:t>
            </w:r>
          </w:p>
        </w:tc>
      </w:tr>
      <w:tr>
        <w:tc>
          <w:tcPr/>
          <w:p>
            <w:pPr>
              <w:pStyle w:val="Compact"/>
              <w:jc w:val="left"/>
            </w:pPr>
            <w:r>
              <w:t xml:space="preserve">Young</w:t>
            </w:r>
          </w:p>
        </w:tc>
        <w:tc>
          <w:tcPr/>
          <w:p>
            <w:pPr>
              <w:pStyle w:val="Compact"/>
              <w:jc w:val="right"/>
            </w:pPr>
            <w:r>
              <w:t xml:space="preserve">2023</w:t>
            </w:r>
          </w:p>
        </w:tc>
        <w:tc>
          <w:tcPr/>
          <w:p>
            <w:pPr>
              <w:pStyle w:val="Compact"/>
              <w:jc w:val="right"/>
            </w:pPr>
            <w:r>
              <w:t xml:space="preserve">-4.7</w:t>
            </w:r>
          </w:p>
        </w:tc>
        <w:tc>
          <w:tcPr/>
          <w:p>
            <w:pPr>
              <w:pStyle w:val="Compact"/>
              <w:jc w:val="right"/>
            </w:pPr>
            <w:r>
              <w:t xml:space="preserve">2.7</w:t>
            </w:r>
          </w:p>
        </w:tc>
        <w:tc>
          <w:tcPr/>
          <w:p>
            <w:pPr>
              <w:pStyle w:val="Compact"/>
              <w:jc w:val="right"/>
            </w:pPr>
            <w:r>
              <w:t xml:space="preserve">334</w:t>
            </w:r>
          </w:p>
        </w:tc>
        <w:tc>
          <w:tcPr/>
          <w:p>
            <w:pPr>
              <w:pStyle w:val="Compact"/>
              <w:jc w:val="right"/>
            </w:pPr>
            <w:r>
              <w:t xml:space="preserve">61.8</w:t>
            </w:r>
          </w:p>
        </w:tc>
        <w:tc>
          <w:tcPr/>
          <w:p>
            <w:pPr>
              <w:pStyle w:val="Compact"/>
              <w:jc w:val="right"/>
            </w:pPr>
            <w:r>
              <w:t xml:space="preserve">NaN</w:t>
            </w:r>
          </w:p>
        </w:tc>
      </w:tr>
    </w:tbl>
    <w:bookmarkEnd w:id="35"/>
    <w:bookmarkStart w:id="42" w:name="water-quality-observations"/>
    <w:p>
      <w:pPr>
        <w:pStyle w:val="Heading2"/>
      </w:pPr>
      <w:r>
        <w:t xml:space="preserve">3.2 Water quality observations</w:t>
      </w:r>
    </w:p>
    <w:p>
      <w:pPr>
        <w:pStyle w:val="FirstParagraph"/>
      </w:pPr>
      <w:r>
        <w:t xml:space="preserve">Significant differences were observed in water quality parameters across sites (Table</w:t>
      </w:r>
      <w:r>
        <w:t xml:space="preserve"> </w:t>
      </w:r>
      <w:hyperlink w:anchor="tbl-WQ">
        <w:r>
          <w:rPr>
            <w:rStyle w:val="Hyperlink"/>
          </w:rPr>
          <w:t xml:space="preserve">1</w:t>
        </w:r>
      </w:hyperlink>
      <w:r>
        <w:t xml:space="preserve">, Figure</w:t>
      </w:r>
      <w:r>
        <w:t xml:space="preserve"> </w:t>
      </w:r>
      <w:hyperlink w:anchor="fig-PCA">
        <w:r>
          <w:rPr>
            <w:rStyle w:val="Hyperlink"/>
          </w:rPr>
          <w:t xml:space="preserve">3</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(Table</w:t>
      </w:r>
      <w:r>
        <w:t xml:space="preserve"> </w:t>
      </w:r>
      <w:hyperlink w:anchor="tbl-WQ">
        <w:r>
          <w:rPr>
            <w:rStyle w:val="Hyperlink"/>
          </w:rPr>
          <w:t xml:space="preserve">1</w:t>
        </w:r>
      </w:hyperlink>
      <w:r>
        <w:t xml:space="preserve">). Conversely, dissolved reactive phosphorus (DRP), total dissolved phosphorus (TDP) concentrations than Young, total phosphorus (TP) was significantly lower at Hogg than Young. No significant differences in pH, NO3 or NO2, or NH4 were observed between sites.</w:t>
      </w:r>
    </w:p>
    <w:bookmarkStart w:id="36" w:name="tbl-WQ"/>
    <w:p>
      <w:pPr>
        <w:pStyle w:val="TableCaption"/>
      </w:pPr>
      <w:r>
        <w:t xml:space="preserve">Table 1: Annual GHG budgets.</w:t>
      </w:r>
    </w:p>
    <w:tbl>
      <w:tblPr>
        <w:tblStyle w:val="Table"/>
        <w:tblW w:type="pct" w:w="5000"/>
        <w:tblLook w:firstRow="1" w:lastRow="0" w:firstColumn="0" w:lastColumn="0" w:noHBand="0" w:noVBand="0" w:val="0020"/>
        <w:jc w:val="start"/>
        <w:tblCaption w:val="Table 1: Annual GHG budgets."/>
      </w:tblPr>
      <w:tblGrid>
        <w:gridCol w:w="594"/>
        <w:gridCol w:w="495"/>
        <w:gridCol w:w="396"/>
        <w:gridCol w:w="495"/>
        <w:gridCol w:w="1386"/>
        <w:gridCol w:w="396"/>
        <w:gridCol w:w="396"/>
        <w:gridCol w:w="990"/>
        <w:gridCol w:w="594"/>
        <w:gridCol w:w="396"/>
        <w:gridCol w:w="396"/>
        <w:gridCol w:w="396"/>
        <w:gridCol w:w="990"/>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52</w:t>
            </w:r>
          </w:p>
        </w:tc>
        <w:tc>
          <w:tcPr/>
          <w:p>
            <w:pPr>
              <w:pStyle w:val="Compact"/>
              <w:jc w:val="right"/>
            </w:pPr>
            <w:r>
              <w:t xml:space="preserve">3</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1</w:t>
            </w:r>
          </w:p>
        </w:tc>
      </w:tr>
      <w:tr>
        <w:tc>
          <w:tcPr/>
          <w:p>
            <w:pPr>
              <w:pStyle w:val="Compact"/>
              <w:jc w:val="left"/>
            </w:pPr>
            <w:r>
              <w:t xml:space="preserve">Hogg</w:t>
            </w:r>
          </w:p>
        </w:tc>
        <w:tc>
          <w:tcPr/>
          <w:p>
            <w:pPr>
              <w:pStyle w:val="Compact"/>
              <w:jc w:val="right"/>
            </w:pPr>
            <w:r>
              <w:t xml:space="preserve">2023</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22</w:t>
            </w:r>
          </w:p>
        </w:tc>
        <w:tc>
          <w:tcPr/>
          <w:p>
            <w:pPr>
              <w:pStyle w:val="Compact"/>
              <w:jc w:val="right"/>
            </w:pPr>
            <w:r>
              <w:t xml:space="preserve">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2023</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bookmarkEnd w:id="36"/>
    <w:p>
      <w:pPr>
        <w:pStyle w:val="BodyText"/>
      </w:pPr>
      <w:r>
        <w:t xml:space="preserve">Figure out best figure(s) to use. ALL WQ variables?</w:t>
      </w:r>
    </w:p>
    <w:tbl>
      <w:tblPr>
        <w:tblStyle w:val="Table"/>
        <w:tblW w:type="pct" w:w="5000"/>
        <w:tblLook w:firstRow="0" w:lastRow="0" w:firstColumn="0" w:lastColumn="0" w:noHBand="0" w:noVBand="0" w:val="0000"/>
        <w:jc w:val="start"/>
      </w:tblPr>
      <w:tblGrid>
        <w:gridCol w:w="7920"/>
      </w:tblGrid>
      <w:tr>
        <w:tc>
          <w:tcPr/>
          <w:bookmarkStart w:id="37" w:name="fig-SO4"/>
          <w:p>
            <w:pPr>
              <w:jc w:val="center"/>
            </w:pPr>
          </w:p>
          <w:p>
            <w:pPr>
              <w:jc w:val="center"/>
            </w:pPr>
            <w:pPr>
              <w:jc w:val="start"/>
              <w:spacing w:before="200"/>
              <w:pStyle w:val="ImageCaption"/>
            </w:pPr>
            <w:r>
              <w:t xml:space="preserve">Figure 2: SO4.</w:t>
            </w:r>
          </w:p>
          <w:bookmarkEnd w:id="3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PCA"/>
          <w:p>
            <w:pPr>
              <w:jc w:val="center"/>
            </w:pPr>
            <w:r>
              <w:drawing>
                <wp:inline>
                  <wp:extent cx="2164175" cy="2886522"/>
                  <wp:effectExtent b="0" l="0" r="0" t="0"/>
                  <wp:docPr descr="" title="" id="39" name="Picture"/>
                  <a:graphic>
                    <a:graphicData uri="http://schemas.openxmlformats.org/drawingml/2006/picture">
                      <pic:pic>
                        <pic:nvPicPr>
                          <pic:cNvPr descr="../figures/PCA_WQ.png" id="40" name="Picture"/>
                          <pic:cNvPicPr>
                            <a:picLocks noChangeArrowheads="1" noChangeAspect="1"/>
                          </pic:cNvPicPr>
                        </pic:nvPicPr>
                        <pic:blipFill>
                          <a:blip r:embed="rId38"/>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PCA. CHANGE VAR NAMES</w:t>
            </w:r>
          </w:p>
          <w:bookmarkEnd w:id="41"/>
        </w:tc>
      </w:tr>
    </w:tbl>
    <w:bookmarkEnd w:id="42"/>
    <w:bookmarkStart w:id="48" w:name="Xcf5bec965360d9586429e94c3db6e2200d1fb60"/>
    <w:p>
      <w:pPr>
        <w:pStyle w:val="Heading2"/>
      </w:pPr>
      <w:r>
        <w:t xml:space="preserve">3.3 GHG budgets - REVISE WHEN WE GET FULL YEAR OF DATA!</w:t>
      </w:r>
    </w:p>
    <w:p>
      <w:pPr>
        <w:pStyle w:val="FirstParagraph"/>
      </w:pPr>
      <w:r>
        <w:t xml:space="preserve">Both wetland sites were net</w:t>
      </w:r>
      <w:r>
        <w:t xml:space="preserve"> </w:t>
      </w:r>
      <m:oMath>
        <m:r>
          <m:t>C</m:t>
        </m:r>
        <m:sSub>
          <m:e>
            <m:r>
              <m:t>O</m:t>
            </m:r>
          </m:e>
          <m:sub>
            <m:r>
              <m:t>2</m:t>
            </m:r>
          </m:sub>
        </m:sSub>
      </m:oMath>
      <w:r>
        <w:t xml:space="preserve"> </w:t>
      </w:r>
      <w:r>
        <w:t xml:space="preserve">sinks over the course of the growing season, although net</w:t>
      </w:r>
      <w:r>
        <w:t xml:space="preserve"> </w:t>
      </w:r>
      <m:oMath>
        <m:r>
          <m:t>C</m:t>
        </m:r>
        <m:sSub>
          <m:e>
            <m:r>
              <m:t>O</m:t>
            </m:r>
          </m:e>
          <m:sub>
            <m:r>
              <m:t>2</m:t>
            </m:r>
          </m:sub>
        </m:sSub>
      </m:oMath>
      <w:r>
        <w:t xml:space="preserve"> </w:t>
      </w:r>
      <w:r>
        <w:t xml:space="preserve">uptake was lower at Young relative to Hogg in both 2021 and 2022 due to lower GPP at Young (Figure</w:t>
      </w:r>
      <w:r>
        <w:t xml:space="preserve"> </w:t>
      </w:r>
      <w:hyperlink w:anchor="fig-fluxes">
        <w:r>
          <w:rPr>
            <w:rStyle w:val="Hyperlink"/>
          </w:rPr>
          <w:t xml:space="preserve">4</w:t>
        </w:r>
      </w:hyperlink>
      <w:r>
        <w:t xml:space="preserve">). Annually, this resulted in in Hogg being a weak net</w:t>
      </w:r>
      <w:r>
        <w:t xml:space="preserve"> </w:t>
      </w:r>
      <m:oMath>
        <m:r>
          <m:t>C</m:t>
        </m:r>
        <m:sSub>
          <m:e>
            <m:r>
              <m:t>O</m:t>
            </m:r>
          </m:e>
          <m:sub>
            <m:r>
              <m:t>2</m:t>
            </m:r>
          </m:sub>
        </m:sSub>
      </m:oMath>
      <w:r>
        <w:t xml:space="preserve"> </w:t>
      </w:r>
      <w:r>
        <w:t xml:space="preserve">sink in 2021 and a strong sink in 2022, taking up 34 and 151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respectively. Conversely, Young was a net</w:t>
      </w:r>
      <w:r>
        <w:t xml:space="preserve"> </w:t>
      </w:r>
      <m:oMath>
        <m:r>
          <m:t>C</m:t>
        </m:r>
        <m:sSub>
          <m:e>
            <m:r>
              <m:t>O</m:t>
            </m:r>
          </m:e>
          <m:sub>
            <m:r>
              <m:t>2</m:t>
            </m:r>
          </m:sub>
        </m:sSub>
      </m:oMath>
      <w:r>
        <w:t xml:space="preserve"> </w:t>
      </w:r>
      <w:r>
        <w:t xml:space="preserve">source of 57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t>
      </w:r>
      <w:r>
        <w:t xml:space="preserve">in 2021, and a weak sink of 31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t>
      </w:r>
      <w:r>
        <w:t xml:space="preserve">in 2022. Annual GPP at Hogg was 23-32% greater than Young depending on the year, while differences in annual Reco were smaller between sites (on average ~12%) (Table</w:t>
      </w:r>
      <w:r>
        <w:t xml:space="preserve"> </w:t>
      </w:r>
      <w:hyperlink w:anchor="tbl-fluxes">
        <w:r>
          <w:rPr>
            <w:rStyle w:val="Hyperlink"/>
          </w:rPr>
          <w:t xml:space="preserve">2</w:t>
        </w:r>
      </w:hyperlink>
      <w:r>
        <w:t xml:space="preserve">).</w:t>
      </w:r>
    </w:p>
    <w:p>
      <w:pPr>
        <w:pStyle w:val="BodyText"/>
      </w:pPr>
      <w:r>
        <w:t xml:space="preserve">Large differences in</w:t>
      </w:r>
      <w:r>
        <w:t xml:space="preserve"> </w:t>
      </w:r>
      <m:oMath>
        <m:r>
          <m:t>C</m:t>
        </m:r>
        <m:sSub>
          <m:e>
            <m:r>
              <m:t>H</m:t>
            </m:r>
          </m:e>
          <m:sub>
            <m:r>
              <m:t>4</m:t>
            </m:r>
          </m:sub>
        </m:sSub>
      </m:oMath>
      <w:r>
        <w:t xml:space="preserve"> </w:t>
      </w:r>
      <w:r>
        <w:t xml:space="preserve">fluxes were also observed between sites (Figure</w:t>
      </w:r>
      <w:r>
        <w:t xml:space="preserve"> </w:t>
      </w:r>
      <w:hyperlink w:anchor="fig-fluxes">
        <w:r>
          <w:rPr>
            <w:rStyle w:val="Hyperlink"/>
          </w:rPr>
          <w:t xml:space="preserve">4</w:t>
        </w:r>
      </w:hyperlink>
      <w:r>
        <w:t xml:space="preserve">; Table</w:t>
      </w:r>
      <w:r>
        <w:t xml:space="preserve"> </w:t>
      </w:r>
      <w:hyperlink w:anchor="tbl-fluxes">
        <w:r>
          <w:rPr>
            <w:rStyle w:val="Hyperlink"/>
          </w:rPr>
          <w:t xml:space="preserve">2</w:t>
        </w:r>
      </w:hyperlink>
      <w:r>
        <w:t xml:space="preserve">). While Young showed a strong seasonal cycle in FCH4 in both years of observation, emissions at Hogg hovered near zero across the measurement period. However, there were significant differences in</w:t>
      </w:r>
      <w:r>
        <w:t xml:space="preserve"> </w:t>
      </w:r>
      <m:oMath>
        <m:r>
          <m:t>C</m:t>
        </m:r>
        <m:sSub>
          <m:e>
            <m:r>
              <m:t>H</m:t>
            </m:r>
          </m:e>
          <m:sub>
            <m:r>
              <m:t>4</m:t>
            </m:r>
          </m:sub>
        </m:sSub>
      </m:oMath>
      <w:r>
        <w:t xml:space="preserve"> </w:t>
      </w:r>
      <w:r>
        <w:t xml:space="preserve">fluxes at Young between years with higher annual</w:t>
      </w:r>
      <w:r>
        <w:t xml:space="preserve"> </w:t>
      </w:r>
      <m:oMath>
        <m:r>
          <m:t>C</m:t>
        </m:r>
        <m:sSub>
          <m:e>
            <m:r>
              <m:t>H</m:t>
            </m:r>
          </m:e>
          <m:sub>
            <m:r>
              <m:t>4</m:t>
            </m:r>
          </m:sub>
        </m:sSub>
      </m:oMath>
      <w:r>
        <w:t xml:space="preserve"> </w:t>
      </w:r>
      <w:r>
        <w:t xml:space="preserve">emissions in 2021 relative to 2022 (6.8 versus 4.4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respectively). Hogg also exhibited differences in</w:t>
      </w:r>
      <w:r>
        <w:t xml:space="preserve"> </w:t>
      </w:r>
      <m:oMath>
        <m:r>
          <m:t>C</m:t>
        </m:r>
        <m:sSub>
          <m:e>
            <m:r>
              <m:t>H</m:t>
            </m:r>
          </m:e>
          <m:sub>
            <m:r>
              <m:t>4</m:t>
            </m:r>
          </m:sub>
        </m:sSub>
      </m:oMath>
      <w:r>
        <w:t xml:space="preserve"> </w:t>
      </w:r>
      <w:r>
        <w:t xml:space="preserve">fluxes between years (1.9 and 2.4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t>
      </w:r>
      <w:r>
        <w:t xml:space="preserve">in 2021 and 2022, respectively), although differences were not significant [CONFIRM] (Table</w:t>
      </w:r>
      <w:r>
        <w:t xml:space="preserve"> </w:t>
      </w:r>
      <w:hyperlink w:anchor="tbl-fluxes">
        <w:r>
          <w:rPr>
            <w:rStyle w:val="Hyperlink"/>
          </w:rPr>
          <w:t xml:space="preserve">2</w:t>
        </w:r>
      </w:hyperlink>
      <w:r>
        <w:t xml:space="preserve">).</w:t>
      </w:r>
    </w:p>
    <w:p>
      <w:pPr>
        <w:pStyle w:val="BodyText"/>
      </w:pPr>
      <w:r>
        <w:t xml:space="preserve">Combining CO2 and CH4 fluxes, on a 100-year time scale Hogg was GHG neutral in 2021, but a notable GHG sink in 2022 driven by higher net</w:t>
      </w:r>
      <w:r>
        <w:t xml:space="preserve"> </w:t>
      </w:r>
      <m:oMath>
        <m:r>
          <m:t>C</m:t>
        </m:r>
        <m:sSub>
          <m:e>
            <m:r>
              <m:t>O</m:t>
            </m:r>
          </m:e>
          <m:sub>
            <m:r>
              <m:t>2</m:t>
            </m:r>
          </m:sub>
        </m:sSub>
      </m:oMath>
      <w:r>
        <w:t xml:space="preserve"> </w:t>
      </w:r>
      <w:r>
        <w:t xml:space="preserve">uptake that year. Conversely, Young was always a net GHG source (168 and 616 gC-</w:t>
      </w:r>
      <m:oMath>
        <m:r>
          <m:t>C</m:t>
        </m:r>
        <m:sSub>
          <m:e>
            <m:r>
              <m:t>O</m:t>
            </m:r>
          </m:e>
          <m:sub>
            <m:r>
              <m:t>2</m:t>
            </m:r>
          </m:sub>
        </m:sSub>
      </m:oMath>
      <w:r>
        <w:t xml:space="preserve">eq</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t>
      </w:r>
      <w:r>
        <w:t xml:space="preserve">in 2021 and 2022, respectively) due to both higher</w:t>
      </w:r>
      <w:r>
        <w:t xml:space="preserve"> </w:t>
      </w:r>
      <m:oMath>
        <m:r>
          <m:t>C</m:t>
        </m:r>
        <m:sSub>
          <m:e>
            <m:r>
              <m:t>H</m:t>
            </m:r>
          </m:e>
          <m:sub>
            <m:r>
              <m:t>4</m:t>
            </m:r>
          </m:sub>
        </m:sSub>
      </m:oMath>
      <w:r>
        <w:t xml:space="preserve"> </w:t>
      </w:r>
      <w:r>
        <w:t xml:space="preserve">fluxes and lower net</w:t>
      </w:r>
      <w:r>
        <w:t xml:space="preserve"> </w:t>
      </w:r>
      <m:oMath>
        <m:r>
          <m:t>C</m:t>
        </m:r>
        <m:sSub>
          <m:e>
            <m:r>
              <m:t>O</m:t>
            </m:r>
          </m:e>
          <m:sub>
            <m:r>
              <m:t>2</m:t>
            </m:r>
          </m:sub>
        </m:sSub>
      </m:oMath>
      <w:r>
        <w:t xml:space="preserve"> </w:t>
      </w:r>
      <w:r>
        <w:t xml:space="preserve">uptake (or even net</w:t>
      </w:r>
      <w:r>
        <w:t xml:space="preserve"> </w:t>
      </w:r>
      <m:oMath>
        <m:r>
          <m:t>C</m:t>
        </m:r>
        <m:sSub>
          <m:e>
            <m:r>
              <m:t>O</m:t>
            </m:r>
          </m:e>
          <m:sub>
            <m:r>
              <m:t>2</m:t>
            </m:r>
          </m:sub>
        </m:sSub>
      </m:oMath>
      <w:r>
        <w:t xml:space="preserve"> </w:t>
      </w:r>
      <w:r>
        <w:t xml:space="preserve">emissions) at Young relative to Hogg.</w:t>
      </w:r>
    </w:p>
    <w:p>
      <w:pPr>
        <w:pStyle w:val="BodyText"/>
      </w:pPr>
      <w:r>
        <w:t xml:space="preserve">Add 20 &amp; 500 year time scale??</w:t>
      </w:r>
    </w:p>
    <w:p>
      <w:pPr>
        <w:pStyle w:val="BodyText"/>
      </w:pPr>
      <w:r>
        <w:t xml:space="preserve">ALSO PLOT OF CUMULATIVE FLUXES???</w:t>
      </w:r>
    </w:p>
    <w:tbl>
      <w:tblPr>
        <w:tblStyle w:val="Table"/>
        <w:tblW w:type="pct" w:w="5000"/>
        <w:tblLook w:firstRow="0" w:lastRow="0" w:firstColumn="0" w:lastColumn="0" w:noHBand="0" w:noVBand="0" w:val="0000"/>
        <w:jc w:val="start"/>
      </w:tblPr>
      <w:tblGrid>
        <w:gridCol w:w="7920"/>
      </w:tblGrid>
      <w:tr>
        <w:tc>
          <w:tcPr/>
          <w:bookmarkStart w:id="46" w:name="fig-fluxes"/>
          <w:p>
            <w:pPr>
              <w:jc w:val="center"/>
            </w:pPr>
            <w:r>
              <w:drawing>
                <wp:inline>
                  <wp:extent cx="4331217" cy="4331217"/>
                  <wp:effectExtent b="0" l="0" r="0" t="0"/>
                  <wp:docPr descr="" title="" id="44" name="Picture"/>
                  <a:graphic>
                    <a:graphicData uri="http://schemas.openxmlformats.org/drawingml/2006/picture">
                      <pic:pic>
                        <pic:nvPicPr>
                          <pic:cNvPr descr="../figures/flux_ts.png" id="45" name="Picture"/>
                          <pic:cNvPicPr>
                            <a:picLocks noChangeArrowheads="1" noChangeAspect="1"/>
                          </pic:cNvPicPr>
                        </pic:nvPicPr>
                        <pic:blipFill>
                          <a:blip r:embed="rId43"/>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Fluxes.</w:t>
            </w:r>
          </w:p>
          <w:bookmarkEnd w:id="46"/>
        </w:tc>
      </w:tr>
    </w:tbl>
    <w:p>
      <w:pPr>
        <w:pStyle w:val="BodyText"/>
      </w:pPr>
      <w:r>
        <w:t xml:space="preserve">(Table</w:t>
      </w:r>
      <w:r>
        <w:t xml:space="preserve"> </w:t>
      </w:r>
      <w:hyperlink w:anchor="tbl-fluxes">
        <w:r>
          <w:rPr>
            <w:rStyle w:val="Hyperlink"/>
          </w:rPr>
          <w:t xml:space="preserve">2</w:t>
        </w:r>
      </w:hyperlink>
      <w:r>
        <w:t xml:space="preserve">)</w:t>
      </w:r>
    </w:p>
    <w:bookmarkStart w:id="47" w:name="tbl-fluxes"/>
    <w:p>
      <w:pPr>
        <w:pStyle w:val="TableCaption"/>
      </w:pPr>
      <w:r>
        <w:t xml:space="preserve">Table 2: Differences in fluxes across sites.</w:t>
      </w:r>
    </w:p>
    <w:tbl>
      <w:tblPr>
        <w:tblStyle w:val="Table"/>
        <w:tblW w:type="pct" w:w="5000"/>
        <w:tblLook w:firstRow="1" w:lastRow="0" w:firstColumn="0" w:lastColumn="0" w:noHBand="0" w:noVBand="0" w:val="0020"/>
        <w:jc w:val="start"/>
        <w:tblCaption w:val="Table 2: Differences in fluxes across sites."/>
      </w:tblPr>
      <w:tblGrid>
        <w:gridCol w:w="642"/>
        <w:gridCol w:w="963"/>
        <w:gridCol w:w="1070"/>
        <w:gridCol w:w="963"/>
        <w:gridCol w:w="1070"/>
        <w:gridCol w:w="1070"/>
        <w:gridCol w:w="1070"/>
        <w:gridCol w:w="1070"/>
      </w:tblGrid>
      <w:tr>
        <w:trPr>
          <w:tblHeader w:val="true"/>
        </w:trPr>
        <w:tc>
          <w:tcPr/>
          <w:p>
            <w:pPr>
              <w:pStyle w:val="Compact"/>
            </w:pPr>
          </w:p>
        </w:tc>
        <w:tc>
          <w:tcPr/>
          <w:p>
            <w:pPr>
              <w:pStyle w:val="Compact"/>
              <w:jc w:val="left"/>
            </w:pPr>
            <w:r>
              <w:t xml:space="preserve">NEE</w:t>
            </w:r>
          </w:p>
        </w:tc>
        <w:tc>
          <w:tcPr/>
          <w:p>
            <w:pPr>
              <w:pStyle w:val="Compact"/>
              <w:jc w:val="left"/>
            </w:pPr>
            <w:r>
              <w:t xml:space="preserve">FCH4</w:t>
            </w:r>
          </w:p>
        </w:tc>
        <w:tc>
          <w:tcPr/>
          <w:p>
            <w:pPr>
              <w:pStyle w:val="Compact"/>
              <w:jc w:val="left"/>
            </w:pPr>
            <w:r>
              <w:t xml:space="preserve">GPP_DT</w:t>
            </w:r>
          </w:p>
        </w:tc>
        <w:tc>
          <w:tcPr/>
          <w:p>
            <w:pPr>
              <w:pStyle w:val="Compact"/>
              <w:jc w:val="left"/>
            </w:pPr>
            <w:r>
              <w:t xml:space="preserve">GPP_NT</w:t>
            </w:r>
          </w:p>
        </w:tc>
        <w:tc>
          <w:tcPr/>
          <w:p>
            <w:pPr>
              <w:pStyle w:val="Compact"/>
              <w:jc w:val="left"/>
            </w:pPr>
            <w:r>
              <w:t xml:space="preserve">Reco_DT</w:t>
            </w:r>
          </w:p>
        </w:tc>
        <w:tc>
          <w:tcPr/>
          <w:p>
            <w:pPr>
              <w:pStyle w:val="Compact"/>
              <w:jc w:val="left"/>
            </w:pPr>
            <w:r>
              <w:t xml:space="preserve">Reco_NT</w:t>
            </w:r>
          </w:p>
        </w:tc>
        <w:tc>
          <w:tcPr/>
          <w:p>
            <w:pPr>
              <w:pStyle w:val="Compact"/>
              <w:jc w:val="left"/>
            </w:pPr>
            <w:r>
              <w:t xml:space="preserve">GHG</w:t>
            </w:r>
          </w:p>
        </w:tc>
      </w:tr>
      <w:tr>
        <w:tc>
          <w:tcPr/>
          <w:p>
            <w:pPr>
              <w:pStyle w:val="Compact"/>
              <w:jc w:val="left"/>
            </w:pPr>
            <w:r>
              <w:t xml:space="preserve">Hogg</w:t>
            </w:r>
          </w:p>
        </w:tc>
        <w:tc>
          <w:tcPr/>
          <w:p>
            <w:pPr>
              <w:pStyle w:val="Compact"/>
              <w:jc w:val="left"/>
            </w:pPr>
            <w:r>
              <w:t xml:space="preserve">-35 ± 20</w:t>
            </w:r>
          </w:p>
        </w:tc>
        <w:tc>
          <w:tcPr/>
          <w:p>
            <w:pPr>
              <w:pStyle w:val="Compact"/>
              <w:jc w:val="left"/>
            </w:pPr>
            <w:r>
              <w:t xml:space="preserve">1.9 ± TBD</w:t>
            </w:r>
          </w:p>
        </w:tc>
        <w:tc>
          <w:tcPr/>
          <w:p>
            <w:pPr>
              <w:pStyle w:val="Compact"/>
              <w:jc w:val="left"/>
            </w:pPr>
            <w:r>
              <w:t xml:space="preserve">838 ± 4</w:t>
            </w:r>
          </w:p>
        </w:tc>
        <w:tc>
          <w:tcPr/>
          <w:p>
            <w:pPr>
              <w:pStyle w:val="Compact"/>
              <w:jc w:val="left"/>
            </w:pPr>
            <w:r>
              <w:t xml:space="preserve">869 ± TBD</w:t>
            </w:r>
          </w:p>
        </w:tc>
        <w:tc>
          <w:tcPr/>
          <w:p>
            <w:pPr>
              <w:pStyle w:val="Compact"/>
              <w:jc w:val="left"/>
            </w:pPr>
            <w:r>
              <w:t xml:space="preserve">677 ± 835</w:t>
            </w:r>
          </w:p>
        </w:tc>
        <w:tc>
          <w:tcPr/>
          <w:p>
            <w:pPr>
              <w:pStyle w:val="Compact"/>
              <w:jc w:val="left"/>
            </w:pPr>
            <w:r>
              <w:t xml:space="preserve">834 ± TBD</w:t>
            </w:r>
          </w:p>
        </w:tc>
        <w:tc>
          <w:tcPr/>
          <w:p>
            <w:pPr>
              <w:pStyle w:val="Compact"/>
              <w:jc w:val="left"/>
            </w:pPr>
            <w:r>
              <w:t xml:space="preserve">-4 ± TBD</w:t>
            </w:r>
          </w:p>
        </w:tc>
      </w:tr>
      <w:tr>
        <w:tc>
          <w:tcPr/>
          <w:p>
            <w:pPr>
              <w:pStyle w:val="Compact"/>
              <w:jc w:val="left"/>
            </w:pPr>
            <w:r>
              <w:t xml:space="preserve">Young</w:t>
            </w:r>
          </w:p>
        </w:tc>
        <w:tc>
          <w:tcPr/>
          <w:p>
            <w:pPr>
              <w:pStyle w:val="Compact"/>
              <w:jc w:val="left"/>
            </w:pPr>
            <w:r>
              <w:t xml:space="preserve">49 ± 21</w:t>
            </w:r>
          </w:p>
        </w:tc>
        <w:tc>
          <w:tcPr/>
          <w:p>
            <w:pPr>
              <w:pStyle w:val="Compact"/>
              <w:jc w:val="left"/>
            </w:pPr>
            <w:r>
              <w:t xml:space="preserve">6.8 ± TBD</w:t>
            </w:r>
          </w:p>
        </w:tc>
        <w:tc>
          <w:tcPr/>
          <w:p>
            <w:pPr>
              <w:pStyle w:val="Compact"/>
              <w:jc w:val="left"/>
            </w:pPr>
            <w:r>
              <w:t xml:space="preserve">641 ± 18</w:t>
            </w:r>
          </w:p>
        </w:tc>
        <w:tc>
          <w:tcPr/>
          <w:p>
            <w:pPr>
              <w:pStyle w:val="Compact"/>
              <w:jc w:val="left"/>
            </w:pPr>
            <w:r>
              <w:t xml:space="preserve">658 ± TBD</w:t>
            </w:r>
          </w:p>
        </w:tc>
        <w:tc>
          <w:tcPr/>
          <w:p>
            <w:pPr>
              <w:pStyle w:val="Compact"/>
              <w:jc w:val="left"/>
            </w:pPr>
            <w:r>
              <w:t xml:space="preserve">621 ± 707</w:t>
            </w:r>
          </w:p>
        </w:tc>
        <w:tc>
          <w:tcPr/>
          <w:p>
            <w:pPr>
              <w:pStyle w:val="Compact"/>
              <w:jc w:val="left"/>
            </w:pPr>
            <w:r>
              <w:t xml:space="preserve">707 ± TBD</w:t>
            </w:r>
          </w:p>
        </w:tc>
        <w:tc>
          <w:tcPr/>
          <w:p>
            <w:pPr>
              <w:pStyle w:val="Compact"/>
              <w:jc w:val="left"/>
            </w:pPr>
            <w:r>
              <w:t xml:space="preserve">616 ± TBD</w:t>
            </w:r>
          </w:p>
        </w:tc>
      </w:tr>
    </w:tbl>
    <w:bookmarkEnd w:id="47"/>
    <w:bookmarkEnd w:id="48"/>
    <w:bookmarkEnd w:id="49"/>
    <w:bookmarkStart w:id="59" w:name="controls-on-net-co2-exchange"/>
    <w:p>
      <w:pPr>
        <w:pStyle w:val="Heading1"/>
      </w:pPr>
      <w:r>
        <w:t xml:space="preserve">4. Controls on net CO2 exchange</w:t>
      </w:r>
    </w:p>
    <w:p>
      <w:pPr>
        <w:pStyle w:val="FirstParagraph"/>
      </w:pPr>
      <w:r>
        <w:t xml:space="preserve">RF first (get % vegetation cover from Darian), then Light response curves for veg vs open water.</w:t>
      </w:r>
    </w:p>
    <w:bookmarkStart w:id="58" w:name="X568e5c6b4d5288c079cc9b756edabd5ab2a3880"/>
    <w:p>
      <w:pPr>
        <w:pStyle w:val="Heading2"/>
      </w:pPr>
      <w:r>
        <w:t xml:space="preserve">4.1 Predictors of FCH4 - ADD Cond or salinity?</w:t>
      </w:r>
    </w:p>
    <w:p>
      <w:pPr>
        <w:pStyle w:val="FirstParagraph"/>
      </w:pPr>
      <w:r>
        <w:t xml:space="preserve">Across sites, the RF model explained 83% [insert code for this] of observed variance (</w:t>
      </w:r>
      <m:oMath>
        <m:sSup>
          <m:e>
            <m:r>
              <m:t>r</m:t>
            </m:r>
          </m:e>
          <m:sup>
            <m:r>
              <m:t>2</m:t>
            </m:r>
          </m:sup>
        </m:sSup>
      </m:oMath>
      <w:r>
        <w:t xml:space="preserve">) when evaluated against out-of-bag (OOB) data. Based on the variable importance rankings,</w:t>
      </w:r>
      <w:r>
        <w:t xml:space="preserve"> </w:t>
      </w:r>
      <m:oMath>
        <m:r>
          <m:t>S</m:t>
        </m:r>
        <m:sSubSup>
          <m:e>
            <m:r>
              <m:t>O</m:t>
            </m:r>
          </m:e>
          <m:sub>
            <m:r>
              <m:t>4</m:t>
            </m:r>
          </m:sub>
          <m:sup>
            <m:r>
              <m:t>2</m:t>
            </m:r>
            <m:r>
              <m:rPr>
                <m:sty m:val="p"/>
              </m:rPr>
              <m:t>−</m:t>
            </m:r>
          </m:sup>
        </m:sSubSup>
      </m:oMath>
      <w:r>
        <w:t xml:space="preserve"> </w:t>
      </w:r>
      <w:r>
        <w:t xml:space="preserve">concentration was the dominant predictor of FCH4 (Figure</w:t>
      </w:r>
      <w:r>
        <w:t xml:space="preserve"> </w:t>
      </w:r>
      <w:hyperlink w:anchor="fig-VarImp">
        <w:r>
          <w:rPr>
            <w:rStyle w:val="Hyperlink"/>
          </w:rPr>
          <w:t xml:space="preserve">5</w:t>
        </w:r>
      </w:hyperlink>
      <w:r>
        <w:t xml:space="preserve">a), indicating that the significant difference in</w:t>
      </w:r>
      <w:r>
        <w:t xml:space="preserve"> </w:t>
      </w:r>
      <m:oMath>
        <m:r>
          <m:t>S</m:t>
        </m:r>
        <m:sSubSup>
          <m:e>
            <m:r>
              <m:t>O</m:t>
            </m:r>
          </m:e>
          <m:sub>
            <m:r>
              <m:t>4</m:t>
            </m:r>
          </m:sub>
          <m:sup>
            <m:r>
              <m:t>2</m:t>
            </m:r>
            <m:r>
              <m:rPr>
                <m:sty m:val="p"/>
              </m:rPr>
              <m:t>−</m:t>
            </m:r>
          </m:sup>
        </m:sSubSup>
      </m:oMath>
      <w:r>
        <w:t xml:space="preserve"> </w:t>
      </w:r>
      <w:r>
        <w:t xml:space="preserve">concentration across sites (Table</w:t>
      </w:r>
      <w:r>
        <w:t xml:space="preserve"> </w:t>
      </w:r>
      <w:hyperlink w:anchor="tbl-WQ">
        <w:r>
          <w:rPr>
            <w:rStyle w:val="Hyperlink"/>
          </w:rPr>
          <w:t xml:space="preserve">1</w:t>
        </w:r>
      </w:hyperlink>
      <w:r>
        <w:t xml:space="preserve">) was the dominant factor explaining the differences in FCH4 across sites. The partial dependence plot for the RF model indicates that FCH4 is strongly inhibited below</w:t>
      </w:r>
      <w:r>
        <w:t xml:space="preserve"> </w:t>
      </w:r>
      <m:oMath>
        <m:r>
          <m:t>S</m:t>
        </m:r>
        <m:sSubSup>
          <m:e>
            <m:r>
              <m:t>O</m:t>
            </m:r>
          </m:e>
          <m:sub>
            <m:r>
              <m:t>4</m:t>
            </m:r>
          </m:sub>
          <m:sup>
            <m:r>
              <m:t>2</m:t>
            </m:r>
            <m:r>
              <m:rPr>
                <m:sty m:val="p"/>
              </m:rPr>
              <m:t>−</m:t>
            </m:r>
          </m:sup>
        </m:sSubSup>
      </m:oMath>
      <w:r>
        <w:t xml:space="preserve"> </w:t>
      </w:r>
      <w:r>
        <w:t xml:space="preserve">concentrations greater than ~500 UNITS when the effects of other factors were excluded Figure</w:t>
      </w:r>
      <w:r>
        <w:t xml:space="preserve"> </w:t>
      </w:r>
      <w:hyperlink w:anchor="fig-pdp">
        <w:r>
          <w:rPr>
            <w:rStyle w:val="Hyperlink"/>
          </w:rPr>
          <w:t xml:space="preserve">6</w:t>
        </w:r>
      </w:hyperlink>
      <w:r>
        <w:t xml:space="preserve">a). In addition</w:t>
      </w:r>
      <w:r>
        <w:t xml:space="preserve"> </w:t>
      </w:r>
      <m:oMath>
        <m:r>
          <m:t>S</m:t>
        </m:r>
        <m:sSubSup>
          <m:e>
            <m:r>
              <m:t>O</m:t>
            </m:r>
          </m:e>
          <m:sub>
            <m:r>
              <m:t>4</m:t>
            </m:r>
          </m:sub>
          <m:sup>
            <m:r>
              <m:t>2</m:t>
            </m:r>
            <m:r>
              <m:rPr>
                <m:sty m:val="p"/>
              </m:rPr>
              <m:t>−</m:t>
            </m:r>
          </m:sup>
        </m:sSubSup>
      </m:oMath>
      <w:r>
        <w:t xml:space="preserve">, other water quality variables, including DOC, pH and NO3/NO2 along with WTD were also among the top predictors of FCH4 across sites.</w:t>
      </w:r>
    </w:p>
    <w:p>
      <w:pPr>
        <w:pStyle w:val="BodyText"/>
      </w:pPr>
      <w:r>
        <w:t xml:space="preserve">When trained with data within sites, the RF model explained 71% of observed variance at Young when evaluated against OOB data, although the RF model was unable to explain the variance at Hogg (</w:t>
      </w:r>
      <m:oMath>
        <m:sSup>
          <m:e>
            <m:r>
              <m:t>r</m:t>
            </m:r>
          </m:e>
          <m:sup>
            <m:r>
              <m:t>2</m:t>
            </m:r>
          </m:sup>
        </m:sSup>
      </m:oMath>
      <w:r>
        <w:t xml:space="preserve"> </w:t>
      </w:r>
      <w:r>
        <w:t xml:space="preserve">= 0). The poor performance at Hogg is likely due to the low FCH4 observed at this site, which are close to the detection limit of the system [REF]. As such, we only consider the variable importance rankings for Young (Figure</w:t>
      </w:r>
      <w:r>
        <w:t xml:space="preserve"> </w:t>
      </w:r>
      <w:hyperlink w:anchor="fig-VarImp">
        <w:r>
          <w:rPr>
            <w:rStyle w:val="Hyperlink"/>
          </w:rPr>
          <w:t xml:space="preserve">5</w:t>
        </w:r>
      </w:hyperlink>
      <w:r>
        <w:t xml:space="preserve">b). While water quality parameters were also dominant predictors of FCH4 at Young, with TP ranked first and</w:t>
      </w:r>
      <w:r>
        <w:t xml:space="preserve"> </w:t>
      </w:r>
      <m:oMath>
        <m:r>
          <m:t>S</m:t>
        </m:r>
        <m:sSubSup>
          <m:e>
            <m:r>
              <m:t>O</m:t>
            </m:r>
          </m:e>
          <m:sub>
            <m:r>
              <m:t>4</m:t>
            </m:r>
          </m:sub>
          <m:sup>
            <m:r>
              <m:t>2</m:t>
            </m:r>
            <m:r>
              <m:rPr>
                <m:sty m:val="p"/>
              </m:rPr>
              <m:t>−</m:t>
            </m:r>
          </m:sup>
        </m:sSubSup>
      </m:oMath>
      <w:r>
        <w:t xml:space="preserve"> </w:t>
      </w:r>
      <w:r>
        <w:t xml:space="preserve">ranked 4th, TA and GPP were also among the top predictors at Young. Based on the partial dependency plots for the Young RF model, TP appeared to limit FCH4 at concentrations greater than 500 UNITS, while FCH4 followed roughly logistic growth with TA and GPP.</w:t>
      </w:r>
    </w:p>
    <w:tbl>
      <w:tblPr>
        <w:tblStyle w:val="Table"/>
        <w:tblW w:type="pct" w:w="5000"/>
        <w:tblLook w:firstRow="0" w:lastRow="0" w:firstColumn="0" w:lastColumn="0" w:noHBand="0" w:noVBand="0" w:val="0000"/>
        <w:jc w:val="start"/>
      </w:tblPr>
      <w:tblGrid>
        <w:gridCol w:w="7920"/>
      </w:tblGrid>
      <w:tr>
        <w:tc>
          <w:tcPr/>
          <w:bookmarkStart w:id="53" w:name="fig-VarImp"/>
          <w:p>
            <w:pPr>
              <w:jc w:val="center"/>
            </w:pPr>
            <w:r>
              <w:drawing>
                <wp:inline>
                  <wp:extent cx="4331217" cy="4331217"/>
                  <wp:effectExtent b="0" l="0" r="0" t="0"/>
                  <wp:docPr descr="" title="" id="51" name="Picture"/>
                  <a:graphic>
                    <a:graphicData uri="http://schemas.openxmlformats.org/drawingml/2006/picture">
                      <pic:pic>
                        <pic:nvPicPr>
                          <pic:cNvPr descr="../figures/VarImp_all_sig.png" id="52" name="Picture"/>
                          <pic:cNvPicPr>
                            <a:picLocks noChangeArrowheads="1" noChangeAspect="1"/>
                          </pic:cNvPicPr>
                        </pic:nvPicPr>
                        <pic:blipFill>
                          <a:blip r:embed="rId50"/>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Variable importance.</w:t>
            </w:r>
          </w:p>
          <w:bookmarkEnd w:id="5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7" w:name="fig-pdp"/>
          <w:p>
            <w:pPr>
              <w:jc w:val="center"/>
            </w:pPr>
            <w:r>
              <w:drawing>
                <wp:inline>
                  <wp:extent cx="4331217" cy="4331217"/>
                  <wp:effectExtent b="0" l="0" r="0" t="0"/>
                  <wp:docPr descr="" title="" id="55" name="Picture"/>
                  <a:graphic>
                    <a:graphicData uri="http://schemas.openxmlformats.org/drawingml/2006/picture">
                      <pic:pic>
                        <pic:nvPicPr>
                          <pic:cNvPr descr="../figures/pdp_multipanel.png" id="56" name="Picture"/>
                          <pic:cNvPicPr>
                            <a:picLocks noChangeArrowheads="1" noChangeAspect="1"/>
                          </pic:cNvPicPr>
                        </pic:nvPicPr>
                        <pic:blipFill>
                          <a:blip r:embed="rId54"/>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Partial dependence plots showing the effects of SO4 used in the random forest models computed across sites &amp; ADD HERE.</w:t>
            </w:r>
          </w:p>
          <w:bookmarkEnd w:id="57"/>
        </w:tc>
      </w:tr>
    </w:tbl>
    <w:bookmarkEnd w:id="58"/>
    <w:bookmarkEnd w:id="59"/>
    <w:bookmarkStart w:id="60" w:name="discussion"/>
    <w:p>
      <w:pPr>
        <w:pStyle w:val="Heading1"/>
      </w:pPr>
      <w:r>
        <w:t xml:space="preserve">5. Discussion</w:t>
      </w:r>
    </w:p>
    <w:p>
      <w:pPr>
        <w:pStyle w:val="FirstParagraph"/>
      </w:pPr>
      <w:r>
        <w:t xml:space="preserve">In this study, we conducted the first eddy covariance observations of GHG fluxes from PPR wetlands. Observations were conducted at two wetland sites that differ both in terms of vegetation cover and water quality; Young is a heterogeneous wetland composed of a mix of open water and vegetation and characterized by low sulfate concentrations and higher phosphorus concentrations, while Hogg is a more homogeneous site dominated by emergent vegetation and characterized by high sulfate concentrations.</w:t>
      </w:r>
    </w:p>
    <w:p>
      <w:pPr>
        <w:pStyle w:val="BodyText"/>
      </w:pPr>
      <w:r>
        <w:t xml:space="preserve">While Hogg was a C sink, as reported in previous studies that estimated C sequestration rates using soil cores, C uptake (-35 ± 20 gC m-2 yr-1) was on the low end of values reported in the literature which range from 35 to 610 g C m-2 yr-1 (REFS). Furthermore, we observed that Young was a net C source in over the observation period.</w:t>
      </w:r>
    </w:p>
    <w:p>
      <w:pPr>
        <w:pStyle w:val="BodyText"/>
      </w:pPr>
      <w:r>
        <w:t xml:space="preserve">CH4 flux - can look at drivers and functional relationships….</w:t>
      </w:r>
    </w:p>
    <w:p>
      <w:pPr>
        <w:pStyle w:val="BodyText"/>
      </w:pPr>
      <w:r>
        <w:t xml:space="preserve">Wetlands in the PPR are generally observed to have high C sequestration rates and the potential for high CH4 emissions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w:t>
      </w:r>
    </w:p>
    <w:p>
      <w:pPr>
        <w:pStyle w:val="BodyText"/>
      </w:pPr>
      <w:r>
        <w:t xml:space="preserve">Several studies have shown that restored wetlands in the Prairie Pothole Region of North America are particularly proficient at sequestering C</w:t>
      </w:r>
    </w:p>
    <w:p>
      <w:pPr>
        <w:pStyle w:val="BodyText"/>
      </w:pPr>
      <w:r>
        <w:t xml:space="preserve">Wetlands in the PPR have been</w:t>
      </w:r>
    </w:p>
    <w:p>
      <w:pPr>
        <w:pStyle w:val="BodyText"/>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p>
      <w:pPr>
        <w:pStyle w:val="BodyText"/>
      </w:pPr>
      <w:r>
        <w:t xml:space="preserve">Read about P, DOC &amp; pH on FCH4</w:t>
      </w:r>
    </w:p>
    <w:p>
      <w:pPr>
        <w:pStyle w:val="BodyText"/>
      </w:pPr>
      <w:r>
        <w:t xml:space="preserve">Sheel’s paper…</w:t>
      </w:r>
    </w:p>
    <w:bookmarkEnd w:id="60"/>
    <w:bookmarkStart w:id="61" w:name="p"/>
    <w:p>
      <w:pPr>
        <w:pStyle w:val="Heading1"/>
      </w:pPr>
      <w:r>
        <w:t xml:space="preserve">6. P</w:t>
      </w:r>
    </w:p>
    <w:p>
      <w:pPr>
        <w:pStyle w:val="FirstParagraph"/>
      </w:pPr>
      <w:r>
        <w:t xml:space="preserve">https://www.sciencedirect.com/science/article/pii/S135223101200533X?casa_token=-80RBudOMqgAAAAA:J4kAMkLyyqSO-VlVz-xWAeFYBfC5TJV9SZfs9_Vb3mkzRNITLDtclb0bewoGwe2oqRMUdRiLOw#fig3</w:t>
      </w:r>
    </w:p>
    <w:p>
      <w:pPr>
        <w:pStyle w:val="BodyText"/>
      </w:pPr>
      <w:r>
        <w:t xml:space="preserve">Our results indicated that the effect of P enrichment on CH4 emission was time-dependent. Increased P availability did not affect CH4 emission in 2007 and 2008, but decreased in 2009 and 2010. Notably, four years of P addition decreased cumulative CH4 emission during the growing season in the freshwater marsh, and the effect did not change with fertilization rates. From 2007 to 2010, P additions of 1.2, 4.8 and 9.6 g P m−2 year−1 caused a decline in growing-season CH4 emissions by averages of 23%, 38% and 26%, respectively. Our results suggest that long-term P enrichment driven by agricultural activities would reduce CH4 emission from temperate freshwater wetlands.</w:t>
      </w:r>
    </w:p>
    <w:p>
      <w:pPr>
        <w:pStyle w:val="BodyText"/>
      </w:pPr>
      <w:r>
        <w:t xml:space="preserve">Similar to other natural ecosystems, wetlands are currently experiencing increased P loading as a result of human activities (Keller et al., 2005; Song et al., 2011). In wetland ecosystems, P enrichment is assumed to stimulate plant growth and increase plant production, enhancing substrate availability for methanogens through root exudates and litter turnover, which increases CH4 fluxes to the atmosphere. However, previous studies have found that the response of plant productivity to P addition is often species-specific and that this response varies by wetland type (Verhoeven and Schmitz, 1991; Chapin et al., 2004; Keller et al., 2006).</w:t>
      </w:r>
    </w:p>
    <w:p>
      <w:pPr>
        <w:pStyle w:val="BodyText"/>
      </w:pPr>
      <w:r>
        <w:t xml:space="preserve">Moreover, increased P loading to wetlands may change soil microbial community and activity (Keller et al., 2006) and alter plant-mediated transport of CH4 (Lu et al., 1999).</w:t>
      </w:r>
    </w:p>
    <w:p>
      <w:pPr>
        <w:pStyle w:val="BodyText"/>
      </w:pPr>
      <w:r>
        <w:t xml:space="preserve">See 4. Discussions</w:t>
      </w:r>
    </w:p>
    <w:p>
      <w:pPr>
        <w:pStyle w:val="BodyText"/>
      </w:pPr>
      <w:r>
        <w:t xml:space="preserve">This finding implies that elevated P loading would exert a consistent suppression of CH4 emission in temperate freshwater wetlands.</w:t>
      </w:r>
    </w:p>
    <w:p>
      <w:pPr>
        <w:pStyle w:val="BodyText"/>
      </w:pPr>
      <w:r>
        <w:t xml:space="preserve">Matt’s paper</w:t>
      </w:r>
      <w:r>
        <w:t xml:space="preserve"> </w:t>
      </w:r>
      <w:r>
        <w:t xml:space="preserve">Salinity can also interact with other key CH4 controls, with organic C availability modulating the SO42- inhibition of methanogenesis12,19,25,26, and nutrient availability changing with salt content due to sorption to sediments19,27.</w:t>
      </w:r>
    </w:p>
    <w:p>
      <w:pPr>
        <w:pStyle w:val="BodyText"/>
      </w:pPr>
      <w:r>
        <w:t xml:space="preserve">We show that salinity restricts CH4 emissions in small lentic waterbodies, especially through ebullition, leading existing freshwater models to overpredict emissions</w:t>
      </w:r>
    </w:p>
    <w:p>
      <w:pPr>
        <w:pStyle w:val="BodyText"/>
      </w:pPr>
      <w:r>
        <w:t xml:space="preserve">We show that salinity is a key driver of CH4, interacting with organic matter (OM) content to shape surface CH4 partial pressure (pCH4).</w:t>
      </w:r>
    </w:p>
    <w:p>
      <w:pPr>
        <w:pStyle w:val="BodyText"/>
      </w:pPr>
      <w:r>
        <w:t xml:space="preserve">As salinity increases, individual ions (not necessarily SO42-) with greater binding capacities can replace N bound in sediment complexes, and liberate NH4+ which is a precursor to important terminal electron acceptors (NO32- and NO2-) that fuel AOM (detailed above).</w:t>
      </w:r>
    </w:p>
    <w:p>
      <w:pPr>
        <w:pStyle w:val="BodyText"/>
      </w:pPr>
      <w:r>
        <w:t xml:space="preserve">As such, salinity is a useful empirical predictor of CH4 content in part because it reflects the geochemical limitations that can be imposed on primary producer growth and organic matter supply to methanogens.</w:t>
      </w:r>
    </w:p>
    <w:p>
      <w:pPr>
        <w:pStyle w:val="BodyText"/>
      </w:pPr>
      <w:r>
        <w:t xml:space="preserve">the DOC (mg L-1) to salinity (ppt) ratio -&gt; DOC modulates the influence of salinity</w:t>
      </w:r>
    </w:p>
    <w:p>
      <w:pPr>
        <w:pStyle w:val="BodyText"/>
      </w:pPr>
      <w:r>
        <w:t xml:space="preserve">suggests that organic-rich systems (with elevated DOC concentrations) can compensate for the inhibitory effect of salinity on methanogenesis. Similarly, pCH4 correlated with ratios of TN and TP to salinity (Fig. S3b,c), indicating that DOC was a proxy for OM content and ecosystem productivity</w:t>
      </w:r>
    </w:p>
    <w:p>
      <w:pPr>
        <w:pStyle w:val="BodyText"/>
      </w:pPr>
      <w:r>
        <w:t xml:space="preserve">In line with previous research, the correlation with DOC likely reflects the absence of competition for organic substrate between methanogenesis and other reduction pathways when OM is abundant or when the low concentration of other electron acceptors limits alternative redox processes12,19,25.</w:t>
      </w:r>
    </w:p>
    <w:p>
      <w:pPr>
        <w:pStyle w:val="BodyText"/>
      </w:pPr>
      <w:r>
        <w:t xml:space="preserve">Most sampled sites (78%) in the Prairie landscape exhibited moderate salinity &lt; 1 ppt (Fig. S1, Table S1), a range within which even modest salinity changes from year to year45,49 could have a substantial effect on CH4 dynamics (Fig. 1c). For example, at the same DOC concentration (10 mg L), a 0.5 ppt increase in salinity at low salinity conditions (0.5 ppt) results in a 35% reduction of pCH4, (710 to 458 ppm) while a 0.5 ppt increase in salinity from 3.5 to 4 ppt only decreased pCH4 by 8% (207 to 190 ppm) (Fig. 1c). -&gt; Compare salinity response at our sites!</w:t>
      </w:r>
    </w:p>
    <w:p>
      <w:pPr>
        <w:pStyle w:val="BodyText"/>
      </w:pPr>
      <w:r>
        <w:t xml:space="preserve">Past work has emphasized the need for detailed spatio-temporal sampling to constrain uncertainties in flux budgets for single-system research51.</w:t>
      </w:r>
    </w:p>
    <w:p>
      <w:pPr>
        <w:pStyle w:val="BodyText"/>
      </w:pPr>
      <w:r>
        <w:t xml:space="preserve">Were salinity not a controlling factor, we would have anticipated consistently high rates of CH4 emissions from both wetland ecosystems, given the hypereutrophic status of both sites, and the DOC-rich surface water environments (Table S4).</w:t>
      </w:r>
    </w:p>
    <w:p>
      <w:pPr>
        <w:pStyle w:val="BodyText"/>
      </w:pPr>
      <w:r>
        <w:t xml:space="preserve">Overall, our eddy-covariance measurements provide independent support for the Prairies-wide inverse relationship that we observed between salinity and CH4 emissions.</w:t>
      </w:r>
    </w:p>
    <w:p>
      <w:pPr>
        <w:pStyle w:val="BodyText"/>
      </w:pPr>
      <w:r>
        <w:t xml:space="preserve">In the Canadian Prairies, SO42- concentrations have increased in 64 % of the 14 monitored lakes for which data are available in Saskatchewan over the past 30 years (Fig. S8). This is consistent with previous findings that, despite high-local variability, many Prairie waters are becoming more saline42,68. This may in part be linked to rapid increases in the application of S-based fertilizers in agricultural landscapes69, which may in turn lead to enhanced SO42- content and salinity in receiving waters (though such a mechanistic link remains unconfirmed).</w:t>
      </w:r>
    </w:p>
    <w:bookmarkEnd w:id="61"/>
    <w:bookmarkStart w:id="65" w:name="references"/>
    <w:p>
      <w:pPr>
        <w:pStyle w:val="Heading1"/>
      </w:pPr>
      <w:r>
        <w:t xml:space="preserve">References</w:t>
      </w:r>
    </w:p>
    <w:bookmarkStart w:id="64" w:name="refs"/>
    <w:bookmarkStart w:id="63"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62">
        <w:r>
          <w:rPr>
            <w:rStyle w:val="Hyperlink"/>
          </w:rPr>
          <w:t xml:space="preserve">https://doi.org/10.1007/s11273-011-9214-6</w:t>
        </w:r>
      </w:hyperlink>
      <w:r>
        <w:t xml:space="preserve">, 2011.</w:t>
      </w:r>
    </w:p>
    <w:bookmarkEnd w:id="63"/>
    <w:bookmarkEnd w:id="64"/>
    <w:p>
      <w:r>
        <w:br w:type="page"/>
      </w:r>
    </w:p>
    <w:bookmarkEnd w:id="65"/>
    <w:bookmarkStart w:id="66" w:name="tables"/>
    <w:p>
      <w:pPr>
        <w:pStyle w:val="Heading1"/>
      </w:pPr>
      <w:r>
        <w:t xml:space="preserve">Tables</w:t>
      </w:r>
    </w:p>
    <w:p>
      <w:r>
        <w:br w:type="page"/>
      </w:r>
    </w:p>
    <w:bookmarkEnd w:id="66"/>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hyperlink" Id="rId62"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2024-06-11T16:08:04Z</dcterms:created>
  <dcterms:modified xsi:type="dcterms:W3CDTF">2024-06-11T16:08:04Z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2024-06-11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vt:lpwstr>
  </property>
  <property fmtid="{D5CDD505-2E9C-101B-9397-08002B2CF9AE}" pid="12" name="toc-title">
    <vt:lpwstr>Table of contents</vt:lpwstr>
  </property>
</Properties>
</file>