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4/20/23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quality-measurements"/>
    <w:p>
      <w:pPr>
        <w:pStyle w:val="Heading3"/>
      </w:pPr>
      <w:r>
        <w:t xml:space="preserve">2.4.1 Water quality measurements</w:t>
      </w:r>
    </w:p>
    <w:p>
      <w:pPr>
        <w:pStyle w:val="FirstParagraph"/>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A two-sample Wilcoxon test was used to assess differences in water quality parameters between sites (NOTE TO DELETE: this is for variables with only 1 year) due to the small sample size and the fact that a number of quality parameters were not normally distributed.This was done using the</w:t>
      </w:r>
      <w:r>
        <w:t xml:space="preserve"> </w:t>
      </w:r>
      <w:r>
        <w:rPr>
          <w:rStyle w:val="VerbatimChar"/>
        </w:rPr>
        <w:t xml:space="preserve">wilcox.test</w:t>
      </w:r>
      <w:r>
        <w:t xml:space="preserve"> </w:t>
      </w:r>
      <w:r>
        <w:t xml:space="preserve">function from the</w:t>
      </w:r>
      <w:r>
        <w:t xml:space="preserve"> </w:t>
      </w:r>
      <w:r>
        <w:rPr>
          <w:rStyle w:val="VerbatimChar"/>
        </w:rPr>
        <w:t xml:space="preserve">stats</w:t>
      </w:r>
      <w:r>
        <w:t xml:space="preserve"> </w:t>
      </w:r>
      <w:r>
        <w:t xml:space="preserve">package.</w:t>
      </w:r>
    </w:p>
    <w:p>
      <w:pPr>
        <w:pStyle w:val="BodyText"/>
      </w:pPr>
      <w:r>
        <w:t xml:space="preserve">When water quality parameters were available for multiple years, significant differences in water quality parameters between sites, years and the interaction between site and years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r>
        <w:t xml:space="preserve"> </w:t>
      </w:r>
      <w:r>
        <w:t xml:space="preserve">As certain water quality parameters were highly correlated (Figure</w:t>
      </w:r>
      <w:r>
        <w:t xml:space="preserve"> </w:t>
      </w:r>
      <w:hyperlink w:anchor="fig-PCA">
        <w:r>
          <w:rPr>
            <w:rStyle w:val="Hyperlink"/>
          </w:rPr>
          <w:t xml:space="preserve">2</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46" w:name="results"/>
    <w:p>
      <w:pPr>
        <w:pStyle w:val="Heading1"/>
      </w:pPr>
      <w:r>
        <w:t xml:space="preserve">3. Results</w:t>
      </w:r>
    </w:p>
    <w:bookmarkStart w:id="45" w:name="meteorology-and-hydrological-conditions"/>
    <w:p>
      <w:pPr>
        <w:pStyle w:val="Heading2"/>
      </w:pPr>
      <w:r>
        <w:t xml:space="preserve">3.1 Meteorology and hydrological conditions</w:t>
      </w:r>
    </w:p>
    <w:bookmarkStart w:id="38" w:name="water-quality-maybe-add-wtd-here"/>
    <w:p>
      <w:pPr>
        <w:pStyle w:val="Heading3"/>
      </w:pPr>
      <w:r>
        <w:t xml:space="preserve">3.1.1 Water quality (maybe add WTD here)</w:t>
      </w:r>
    </w:p>
    <w:p>
      <w:pPr>
        <w:pStyle w:val="FirstParagraph"/>
      </w:pPr>
      <w:r>
        <w:t xml:space="preserve">Significant differences were observed in water quality parameters across sites (Table</w:t>
      </w:r>
      <w:r>
        <w:t xml:space="preserve"> </w:t>
      </w:r>
      <w:hyperlink w:anchor="tbl-WQ">
        <w:r>
          <w:rPr>
            <w:rStyle w:val="Hyperlink"/>
          </w:rPr>
          <w:t xml:space="preserve">1</w:t>
        </w:r>
      </w:hyperlink>
      <w:r>
        <w:t xml:space="preserve">, Figure</w:t>
      </w:r>
      <w:r>
        <w:t xml:space="preserve"> </w:t>
      </w:r>
      <w:hyperlink w:anchor="fig-PCA">
        <w:r>
          <w:rPr>
            <w:rStyle w:val="Hyperlink"/>
          </w:rPr>
          <w:t xml:space="preserve">2</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29" w:name="tbl-WQ"/>
    <w:p>
      <w:pPr>
        <w:pStyle w:val="TableCaption"/>
      </w:pPr>
      <w:r>
        <w:t xml:space="preserve">Table 1: Differences in water quality parameters across sites.</w:t>
      </w:r>
    </w:p>
    <w:tbl>
      <w:tblPr>
        <w:tblStyle w:val="Table"/>
        <w:tblW w:type="auto" w:w="0"/>
        <w:tblLook w:firstRow="1" w:lastRow="0" w:firstColumn="0" w:lastColumn="0" w:noHBand="0" w:noVBand="0" w:val="0020"/>
        <w:tblCaption w:val="Table 1: Differences in water quality parameters across site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279</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NaN</w:t>
            </w:r>
          </w:p>
        </w:tc>
        <w:tc>
          <w:tcPr/>
          <w:p>
            <w:pPr>
              <w:pStyle w:val="Compact"/>
              <w:jc w:val="right"/>
            </w:pPr>
            <w:r>
              <w:t xml:space="preserve">198</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r>
    </w:tbl>
    <w:bookmarkEnd w:id="29"/>
    <w:p>
      <w:pPr>
        <w:pStyle w:val="BodyText"/>
      </w:pPr>
      <w:r>
        <w:t xml:space="preserve">Figure</w:t>
      </w:r>
      <w:r>
        <w:t xml:space="preserve"> </w:t>
      </w:r>
      <w:hyperlink w:anchor="fig-SO4">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3" w:name="fig-SO4"/>
          <w:p>
            <w:pPr>
              <w:pStyle w:val="Figure"/>
              <w:jc w:val="center"/>
            </w:pPr>
            <w:r>
              <w:drawing>
                <wp:inline>
                  <wp:extent cx="2164175" cy="1803001"/>
                  <wp:effectExtent b="0" l="0" r="0" t="0"/>
                  <wp:docPr descr="" title="" id="31" name="Picture"/>
                  <a:graphic>
                    <a:graphicData uri="http://schemas.openxmlformats.org/drawingml/2006/picture">
                      <pic:pic>
                        <pic:nvPicPr>
                          <pic:cNvPr descr="../figures/SO4_bp.png" id="32" name="Picture"/>
                          <pic:cNvPicPr>
                            <a:picLocks noChangeArrowheads="1" noChangeAspect="1"/>
                          </pic:cNvPicPr>
                        </pic:nvPicPr>
                        <pic:blipFill>
                          <a:blip r:embed="rId30"/>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SO4.</w:t>
            </w:r>
          </w:p>
          <w:bookmarkEnd w:id="33"/>
        </w:tc>
      </w:tr>
    </w:tbl>
    <w:p>
      <w:pPr>
        <w:pStyle w:val="BodyText"/>
      </w:pPr>
      <w:r>
        <w:t xml:space="preserve">Figure</w:t>
      </w:r>
      <w:r>
        <w:t xml:space="preserve"> </w:t>
      </w:r>
      <w:hyperlink w:anchor="fig-PCA">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7" w:name="fig-PCA"/>
          <w:p>
            <w:pPr>
              <w:pStyle w:val="Figure"/>
              <w:jc w:val="center"/>
            </w:pPr>
            <w:r>
              <w:drawing>
                <wp:inline>
                  <wp:extent cx="2164175" cy="2886522"/>
                  <wp:effectExtent b="0" l="0" r="0" t="0"/>
                  <wp:docPr descr="" title="" id="35" name="Picture"/>
                  <a:graphic>
                    <a:graphicData uri="http://schemas.openxmlformats.org/drawingml/2006/picture">
                      <pic:pic>
                        <pic:nvPicPr>
                          <pic:cNvPr descr="../figures/PCA_WQ.png" id="36" name="Picture"/>
                          <pic:cNvPicPr>
                            <a:picLocks noChangeArrowheads="1" noChangeAspect="1"/>
                          </pic:cNvPicPr>
                        </pic:nvPicPr>
                        <pic:blipFill>
                          <a:blip r:embed="rId34"/>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PCA.</w:t>
            </w:r>
          </w:p>
          <w:bookmarkEnd w:id="37"/>
        </w:tc>
      </w:tr>
    </w:tbl>
    <w:bookmarkEnd w:id="38"/>
    <w:bookmarkStart w:id="44" w:name="meteorological-conditions"/>
    <w:p>
      <w:pPr>
        <w:pStyle w:val="Heading3"/>
      </w:pPr>
      <w:r>
        <w:t xml:space="preserve">3.1.2 Meteorological conditions</w:t>
      </w:r>
    </w:p>
    <w:p>
      <w:pPr>
        <w:pStyle w:val="FirstParagraph"/>
      </w:pPr>
      <w:r>
        <w:t xml:space="preserve">Although water quality differed significantly between sites, given the proximity of the sites, Hogg and Young experienced similar meteorological conditions; there were no significant differences in mean annual air temperature (TA), vapor pressure deficit (VPD), incoming photosynthetically active radiation (PPFD_IN), and precipitation between sites. However, water levels at Young were significantly higher than at Hogg (Table</w:t>
      </w:r>
      <w:r>
        <w:t xml:space="preserve"> </w:t>
      </w:r>
      <w:hyperlink w:anchor="tbl-MET">
        <w:r>
          <w:rPr>
            <w:rStyle w:val="Hyperlink"/>
          </w:rPr>
          <w:t xml:space="preserve">2</w:t>
        </w:r>
      </w:hyperlink>
      <w:r>
        <w:t xml:space="preserve">).</w:t>
      </w:r>
    </w:p>
    <w:bookmarkStart w:id="39" w:name="tbl-MET"/>
    <w:p>
      <w:pPr>
        <w:pStyle w:val="TableCaption"/>
      </w:pPr>
      <w:r>
        <w:t xml:space="preserve">Table 2: Differences in water quality parameters across sites.</w:t>
      </w:r>
    </w:p>
    <w:tbl>
      <w:tblPr>
        <w:tblStyle w:val="Table"/>
        <w:tblW w:type="auto" w:w="0"/>
        <w:tblLook w:firstRow="1" w:lastRow="0" w:firstColumn="0" w:lastColumn="0" w:noHBand="0" w:noVBand="0" w:val="0020"/>
        <w:tblCaption w:val="Table 2: Differences in water quality parameters across sites."/>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1.1711278</w:t>
            </w:r>
          </w:p>
        </w:tc>
        <w:tc>
          <w:tcPr/>
          <w:p>
            <w:pPr>
              <w:pStyle w:val="Compact"/>
              <w:jc w:val="right"/>
            </w:pPr>
            <w:r>
              <w:t xml:space="preserve">3.533278</w:t>
            </w:r>
          </w:p>
        </w:tc>
        <w:tc>
          <w:tcPr/>
          <w:p>
            <w:pPr>
              <w:pStyle w:val="Compact"/>
              <w:jc w:val="right"/>
            </w:pPr>
            <w:r>
              <w:t xml:space="preserve">307.7282</w:t>
            </w:r>
          </w:p>
        </w:tc>
        <w:tc>
          <w:tcPr/>
          <w:p>
            <w:pPr>
              <w:pStyle w:val="Compact"/>
              <w:jc w:val="right"/>
            </w:pPr>
            <w:r>
              <w:t xml:space="preserve">247.7081</w:t>
            </w:r>
          </w:p>
        </w:tc>
        <w:tc>
          <w:tcPr/>
          <w:p>
            <w:pPr>
              <w:pStyle w:val="Compact"/>
              <w:jc w:val="right"/>
            </w:pPr>
            <w:r>
              <w:t xml:space="preserve">445.0925</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0.6418218</w:t>
            </w:r>
          </w:p>
        </w:tc>
        <w:tc>
          <w:tcPr/>
          <w:p>
            <w:pPr>
              <w:pStyle w:val="Compact"/>
              <w:jc w:val="right"/>
            </w:pPr>
            <w:r>
              <w:t xml:space="preserve">3.266806</w:t>
            </w:r>
          </w:p>
        </w:tc>
        <w:tc>
          <w:tcPr/>
          <w:p>
            <w:pPr>
              <w:pStyle w:val="Compact"/>
              <w:jc w:val="right"/>
            </w:pPr>
            <w:r>
              <w:t xml:space="preserve">303.0501</w:t>
            </w:r>
          </w:p>
        </w:tc>
        <w:tc>
          <w:tcPr/>
          <w:p>
            <w:pPr>
              <w:pStyle w:val="Compact"/>
              <w:jc w:val="right"/>
            </w:pPr>
            <w:r>
              <w:t xml:space="preserve">376.7910</w:t>
            </w:r>
          </w:p>
        </w:tc>
        <w:tc>
          <w:tcPr/>
          <w:p>
            <w:pPr>
              <w:pStyle w:val="Compact"/>
              <w:jc w:val="right"/>
            </w:pPr>
            <w:r>
              <w:t xml:space="preserve">573.8106</w:t>
            </w:r>
          </w:p>
        </w:tc>
      </w:tr>
    </w:tbl>
    <w:bookmarkEnd w:id="39"/>
    <w:p>
      <w:pPr>
        <w:pStyle w:val="BodyText"/>
      </w:pPr>
      <w:r>
        <w:t xml:space="preserve">Figure</w:t>
      </w:r>
      <w:r>
        <w:t xml:space="preserve"> </w:t>
      </w:r>
      <w:hyperlink w:anchor="fig-NEE">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3" w:name="fig-NEE"/>
          <w:p>
            <w:pPr>
              <w:pStyle w:val="Figure"/>
              <w:jc w:val="center"/>
            </w:pPr>
            <w:r>
              <w:drawing>
                <wp:inline>
                  <wp:extent cx="5943600" cy="3300834"/>
                  <wp:effectExtent b="0" l="0" r="0" t="0"/>
                  <wp:docPr descr="" title="" id="41" name="Picture"/>
                  <a:graphic>
                    <a:graphicData uri="http://schemas.openxmlformats.org/drawingml/2006/picture">
                      <pic:pic>
                        <pic:nvPicPr>
                          <pic:cNvPr descr="../figures/NEE.png" id="42" name="Picture"/>
                          <pic:cNvPicPr>
                            <a:picLocks noChangeArrowheads="1" noChangeAspect="1"/>
                          </pic:cNvPicPr>
                        </pic:nvPicPr>
                        <pic:blipFill>
                          <a:blip r:embed="rId40"/>
                          <a:stretch>
                            <a:fillRect/>
                          </a:stretch>
                        </pic:blipFill>
                        <pic:spPr bwMode="auto">
                          <a:xfrm>
                            <a:off x="0" y="0"/>
                            <a:ext cx="5943600" cy="33008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NEE.</w:t>
            </w:r>
          </w:p>
          <w:bookmarkEnd w:id="43"/>
        </w:tc>
      </w:tr>
    </w:tbl>
    <w:bookmarkEnd w:id="44"/>
    <w:bookmarkEnd w:id="45"/>
    <w:bookmarkEnd w:id="46"/>
    <w:bookmarkStart w:id="47"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47"/>
    <w:bookmarkStart w:id="51" w:name="references"/>
    <w:p>
      <w:pPr>
        <w:pStyle w:val="Heading1"/>
      </w:pPr>
      <w:r>
        <w:t xml:space="preserve">References</w:t>
      </w:r>
    </w:p>
    <w:bookmarkStart w:id="50" w:name="refs"/>
    <w:bookmarkStart w:id="49"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48">
        <w:r>
          <w:rPr>
            <w:rStyle w:val="Hyperlink"/>
          </w:rPr>
          <w:t xml:space="preserve">https://doi.org/10.1007/s11273-011-9214-6</w:t>
        </w:r>
      </w:hyperlink>
      <w:r>
        <w:t xml:space="preserve">, 2011.</w:t>
      </w:r>
    </w:p>
    <w:bookmarkEnd w:id="49"/>
    <w:bookmarkEnd w:id="50"/>
    <w:p>
      <w:r>
        <w:br w:type="page"/>
      </w:r>
    </w:p>
    <w:bookmarkEnd w:id="51"/>
    <w:bookmarkStart w:id="52" w:name="tables"/>
    <w:p>
      <w:pPr>
        <w:pStyle w:val="Heading1"/>
      </w:pPr>
      <w:r>
        <w:t xml:space="preserve">Tables</w:t>
      </w:r>
    </w:p>
    <w:p>
      <w:r>
        <w:br w:type="page"/>
      </w:r>
    </w:p>
    <w:bookmarkEnd w:id="52"/>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8"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2023-04-20T17:49:14Z</dcterms:created>
  <dcterms:modified xsi:type="dcterms:W3CDTF">2023-04-20T17:49:14Z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4/20/23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