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40.png" ContentType="image/png"/>
  <Override PartName="/word/media/rId3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5/23/23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28" w:name="methods"/>
    <w:p>
      <w:pPr>
        <w:pStyle w:val="Heading1"/>
      </w:pPr>
      <w:r>
        <w:t xml:space="preserve">2. Methods</w:t>
      </w:r>
    </w:p>
    <w:bookmarkStart w:id="22" w:name="site-description"/>
    <w:p>
      <w:pPr>
        <w:pStyle w:val="Heading2"/>
      </w:pPr>
      <w:r>
        <w:t xml:space="preserve">2.1 Site description</w:t>
      </w:r>
    </w:p>
    <w:p>
      <w:pPr>
        <w:pStyle w:val="FirstParagraph"/>
      </w:pPr>
      <w:r>
        <w:t xml:space="preserve">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pPr>
        <w:pStyle w:val="BodyText"/>
      </w:pPr>
      <w:r>
        <w:t xml:space="preserve">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bookmarkEnd w:id="22"/>
    <w:bookmarkStart w:id="23" w:name="eddy-covariance-measurements"/>
    <w:p>
      <w:pPr>
        <w:pStyle w:val="Heading2"/>
      </w:pPr>
      <w:r>
        <w:t xml:space="preserve">2.2 Eddy covariance measurements</w:t>
      </w:r>
    </w:p>
    <w:bookmarkEnd w:id="23"/>
    <w:bookmarkStart w:id="24" w:name="X8380c8914479127cb10809ce8bf22444e535fe9"/>
    <w:p>
      <w:pPr>
        <w:pStyle w:val="Heading2"/>
      </w:pPr>
      <w:r>
        <w:t xml:space="preserve">2.3 Gap-filling, NEE partitioning, and annual budget computation</w:t>
      </w:r>
    </w:p>
    <w:bookmarkEnd w:id="24"/>
    <w:bookmarkStart w:id="26" w:name="supporting-measurements"/>
    <w:p>
      <w:pPr>
        <w:pStyle w:val="Heading2"/>
      </w:pPr>
      <w:r>
        <w:t xml:space="preserve">2.4 Supporting measurements</w:t>
      </w:r>
    </w:p>
    <w:bookmarkStart w:id="25" w:name="water-sampling-and-analysis"/>
    <w:p>
      <w:pPr>
        <w:pStyle w:val="Heading3"/>
      </w:pPr>
      <w:r>
        <w:t xml:space="preserve">2.4.1 Water sampling and analysis</w:t>
      </w:r>
    </w:p>
    <w:p>
      <w:pPr>
        <w:pStyle w:val="FirstParagraph"/>
      </w:pPr>
      <w:r>
        <w:t xml:space="preserve">Water samples were collected from three different open-water areas within each wetland and then composited into one sample for each wetland site. Samples were collected 10-20 cm below the water surface and care was taken not to sample any sediment or plant material suspended as a result of wading into the sites. The composite sample was split into three fractions that were stored and shipped in coolers. One fraction was sent to ALS laboratories in Winnipeg and analyzed for SO4 using ion chromatography (EPA 300.1 mod) and alkalinity using standard titration procedures (APHA 2320B). The remaining two fractions, one field filtered upon collection using glass fiber filters (GF/C) for dissolved nutrient analysis, and one unfiltered fraction for total nutrient analysis were delivered to the Agriculture and Agri-Food Canada’s Brandon Research and Development Centre in Manitoba, where they were frozen and stored in a cooler until analyzed. A flow analyzer was used to measure NH4+ and NO3- (as NO3- + NO2-) concentrations colorimetically. Total dissolved N and DOC concentrations were determined through the combustion method using a Shimadzu TOC-VCSn analyzer. Total P and TDP concentrations were determined through sulfuric acid/persulfate digestions and colorimetry using the ascorbic acid method. Additionally, water temperature, specific conductivity, dissolved oxygen, pH, and salinity were measured in-situ using handheld multi-probes.</w:t>
      </w:r>
    </w:p>
    <w:p>
      <w:pPr>
        <w:pStyle w:val="BodyText"/>
      </w:pPr>
      <w:r>
        <w:t xml:space="preserve">ABS 280 - does higher mean more recalcitrant DOC?</w:t>
      </w:r>
    </w:p>
    <w:bookmarkEnd w:id="25"/>
    <w:bookmarkEnd w:id="26"/>
    <w:bookmarkStart w:id="27" w:name="statistical-methods"/>
    <w:p>
      <w:pPr>
        <w:pStyle w:val="Heading2"/>
      </w:pPr>
      <w:r>
        <w:t xml:space="preserve">2.5 Statistical methods</w:t>
      </w:r>
    </w:p>
    <w:p>
      <w:pPr>
        <w:pStyle w:val="FirstParagraph"/>
      </w:pPr>
      <w:r>
        <w:t xml:space="preserve">All data processing and statistical analyses were conducted using R (R Core Team, 2019). Significant differences in water quality parameters, environmental variables, and fluxes between sites, years and the interaction between site and year were assessed using a two-way ANOVA with Type III Sums of Squares on the rank-transformed data, as ranking can be used to transform data that do not meet the assumptions of normality (ref). Here, each original data value was replaced by its rank, with 1 for the smallest value to N for the largest, where N is the combined data sample size. This rank-based approach is robust to non-normal errors, resistant to outliers, and is effective for many distributions. When comparing differences in variables between sites, years and the interaction between site and year, we only considered the summer period when water quality measurements were available.</w:t>
      </w:r>
    </w:p>
    <w:p>
      <w:pPr>
        <w:pStyle w:val="BodyText"/>
      </w:pPr>
      <w:r>
        <w:t xml:space="preserve">Multivariate associations of water quality parameters across sites were analyzed using principal component analysis (PCA). All variables were centered and scaled, and PCA was done using the prcomp function in base R.</w:t>
      </w:r>
    </w:p>
    <w:p>
      <w:pPr>
        <w:pStyle w:val="BodyText"/>
      </w:pPr>
      <w:r>
        <w:t xml:space="preserve">As certain water quality parameters were highly correlated (Figure</w:t>
      </w:r>
      <w:r>
        <w:t xml:space="preserve"> </w:t>
      </w:r>
      <w:hyperlink w:anchor="fig-PCA">
        <w:r>
          <w:rPr>
            <w:rStyle w:val="Hyperlink"/>
          </w:rPr>
          <w:t xml:space="preserve">3</w:t>
        </w:r>
      </w:hyperlink>
      <w:r>
        <w:t xml:space="preserve">), we only selected a subset of water quality parameters for the hierarchical mixed model. To capture the primary differences in water quality parameters between sites, only</w:t>
      </w:r>
      <w:r>
        <w:t xml:space="preserve"> </w:t>
      </w:r>
      <m:oMath>
        <m:r>
          <m:t>S</m:t>
        </m:r>
        <m:sSubSup>
          <m:e>
            <m:r>
              <m:t>O</m:t>
            </m:r>
          </m:e>
          <m:sub>
            <m:r>
              <m:t>4</m:t>
            </m:r>
          </m:sub>
          <m:sup>
            <m:r>
              <m:t>2</m:t>
            </m:r>
            <m:r>
              <m:rPr>
                <m:sty m:val="p"/>
              </m:rPr>
              <m:t>−</m:t>
            </m:r>
          </m:sup>
        </m:sSubSup>
      </m:oMath>
      <w:r>
        <w:t xml:space="preserve">, TP, and pH were included in the model.</w:t>
      </w:r>
    </w:p>
    <w:bookmarkEnd w:id="27"/>
    <w:bookmarkEnd w:id="28"/>
    <w:bookmarkStart w:id="52" w:name="results"/>
    <w:p>
      <w:pPr>
        <w:pStyle w:val="Heading1"/>
      </w:pPr>
      <w:r>
        <w:t xml:space="preserve">3. Results</w:t>
      </w:r>
    </w:p>
    <w:bookmarkStart w:id="34" w:name="meteorology-and-hydrological-conditions"/>
    <w:p>
      <w:pPr>
        <w:pStyle w:val="Heading2"/>
      </w:pPr>
      <w:r>
        <w:t xml:space="preserve">3.1 Meteorology and hydrological conditions</w:t>
      </w:r>
    </w:p>
    <w:p>
      <w:pPr>
        <w:pStyle w:val="FirstParagraph"/>
      </w:pPr>
      <w:r>
        <w:t xml:space="preserve">Figure</w:t>
      </w:r>
      <w:r>
        <w:t xml:space="preserve"> </w:t>
      </w:r>
      <w:hyperlink w:anchor="fig-met_ts">
        <w:r>
          <w:rPr>
            <w:rStyle w:val="Hyperlink"/>
          </w:rPr>
          <w:t xml:space="preserve">1</w:t>
        </w:r>
      </w:hyperlink>
      <w:r>
        <w:t xml:space="preserve">.</w:t>
      </w:r>
    </w:p>
    <w:tbl>
      <w:tblPr>
        <w:tblStyle w:val="Table"/>
        <w:tblW w:type="pct" w:w="5000"/>
        <w:tblLook w:firstRow="0" w:lastRow="0" w:firstColumn="0" w:lastColumn="0" w:noHBand="0" w:noVBand="0" w:val="0000"/>
      </w:tblPr>
      <w:tblGrid>
        <w:gridCol w:w="7920"/>
      </w:tblGrid>
      <w:tr>
        <w:tc>
          <w:tcPr/>
          <w:bookmarkStart w:id="32" w:name="fig-met_ts"/>
          <w:p>
            <w:pPr>
              <w:pStyle w:val="Figure"/>
              <w:jc w:val="center"/>
            </w:pPr>
            <w:r>
              <w:drawing>
                <wp:inline>
                  <wp:extent cx="4331217" cy="4331217"/>
                  <wp:effectExtent b="0" l="0" r="0" t="0"/>
                  <wp:docPr descr="" title="" id="30" name="Picture"/>
                  <a:graphic>
                    <a:graphicData uri="http://schemas.openxmlformats.org/drawingml/2006/picture">
                      <pic:pic>
                        <pic:nvPicPr>
                          <pic:cNvPr descr="../figures/Met_ts.png" id="31" name="Picture"/>
                          <pic:cNvPicPr>
                            <a:picLocks noChangeArrowheads="1" noChangeAspect="1"/>
                          </pic:cNvPicPr>
                        </pic:nvPicPr>
                        <pic:blipFill>
                          <a:blip r:embed="rId29"/>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met_ts.</w:t>
            </w:r>
          </w:p>
          <w:bookmarkEnd w:id="32"/>
        </w:tc>
      </w:tr>
    </w:tbl>
    <w:p>
      <w:pPr>
        <w:pStyle w:val="BodyText"/>
      </w:pPr>
      <w:r>
        <w:t xml:space="preserve">Given the proximity of the sites, Hogg and Young experienced similar meteorological conditions; there were no significant differences in mean growing season daily average incoming photosynthetically active radiation (PPFD_IN), air temperature (TA), vapor pressure deficit (VPD), and precipitation (P) between sites. Though, water levels (WTD) at Young were significantly higher than at Hogg, and WTD was significantly higher in 2022 relative to 2021 (Table</w:t>
      </w:r>
      <w:r>
        <w:t xml:space="preserve"> </w:t>
      </w:r>
      <w:hyperlink w:anchor="tbl-MET">
        <w:r>
          <w:rPr>
            <w:rStyle w:val="Hyperlink"/>
          </w:rPr>
          <w:t xml:space="preserve">1</w:t>
        </w:r>
      </w:hyperlink>
      <w:r>
        <w:t xml:space="preserve">; Figure</w:t>
      </w:r>
      <w:r>
        <w:t xml:space="preserve"> </w:t>
      </w:r>
      <w:hyperlink w:anchor="fig-met_ts">
        <w:r>
          <w:rPr>
            <w:rStyle w:val="Hyperlink"/>
          </w:rPr>
          <w:t xml:space="preserve">1</w:t>
        </w:r>
      </w:hyperlink>
      <w:r>
        <w:t xml:space="preserve">). Mean growing season temperatures did not differ significantly between years (Table</w:t>
      </w:r>
      <w:r>
        <w:t xml:space="preserve"> </w:t>
      </w:r>
      <w:hyperlink w:anchor="tbl-MET">
        <w:r>
          <w:rPr>
            <w:rStyle w:val="Hyperlink"/>
          </w:rPr>
          <w:t xml:space="preserve">1</w:t>
        </w:r>
      </w:hyperlink>
      <w:r>
        <w:t xml:space="preserve">). However, the other meteorological variables did differ significantly between years, with higher daily precipitation and VPD observed in 2021 relative to 2022 (Table</w:t>
      </w:r>
      <w:r>
        <w:t xml:space="preserve"> </w:t>
      </w:r>
      <w:hyperlink w:anchor="tbl-MET">
        <w:r>
          <w:rPr>
            <w:rStyle w:val="Hyperlink"/>
          </w:rPr>
          <w:t xml:space="preserve">1</w:t>
        </w:r>
      </w:hyperlink>
      <w:r>
        <w:t xml:space="preserve">).</w:t>
      </w:r>
    </w:p>
    <w:bookmarkStart w:id="33" w:name="tbl-MET"/>
    <w:p>
      <w:pPr>
        <w:pStyle w:val="TableCaption"/>
      </w:pPr>
      <w:r>
        <w:t xml:space="preserve">Table 1: Growing season mean air temperature (TA) and vapour pressure deficit (VPD), photosynthentically active radiation (PPFD_IN), and water table dept (WTD), and cumulative precipitation at Hogg and Young during 2021 and 2022.</w:t>
      </w:r>
    </w:p>
    <w:tbl>
      <w:tblPr>
        <w:tblStyle w:val="Table"/>
        <w:tblW w:type="auto" w:w="0"/>
        <w:tblLook w:firstRow="1" w:lastRow="0" w:firstColumn="0" w:lastColumn="0" w:noHBand="0" w:noVBand="0" w:val="0020"/>
        <w:tblCaption w:val="Table 1: Growing season mean air temperature (TA) and vapour pressure deficit (VPD), photosynthentically active radiation (PPFD_IN), and water table dept (WTD), and cumulative precipitation at Hogg and Young during 2021 and 2022."/>
      </w:tblPr>
      <w:tblGrid>
        <w:gridCol w:w="1131"/>
        <w:gridCol w:w="1131"/>
        <w:gridCol w:w="1131"/>
        <w:gridCol w:w="1131"/>
        <w:gridCol w:w="1131"/>
        <w:gridCol w:w="1131"/>
        <w:gridCol w:w="1131"/>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TA</w:t>
            </w:r>
          </w:p>
        </w:tc>
        <w:tc>
          <w:tcPr/>
          <w:p>
            <w:pPr>
              <w:pStyle w:val="Compact"/>
              <w:jc w:val="right"/>
            </w:pPr>
            <w:r>
              <w:t xml:space="preserve">VPD</w:t>
            </w:r>
          </w:p>
        </w:tc>
        <w:tc>
          <w:tcPr/>
          <w:p>
            <w:pPr>
              <w:pStyle w:val="Compact"/>
              <w:jc w:val="right"/>
            </w:pPr>
            <w:r>
              <w:t xml:space="preserve">PPFD_IN</w:t>
            </w:r>
          </w:p>
        </w:tc>
        <w:tc>
          <w:tcPr/>
          <w:p>
            <w:pPr>
              <w:pStyle w:val="Compact"/>
              <w:jc w:val="right"/>
            </w:pPr>
            <w:r>
              <w:t xml:space="preserve">P</w:t>
            </w:r>
          </w:p>
        </w:tc>
        <w:tc>
          <w:tcPr/>
          <w:p>
            <w:pPr>
              <w:pStyle w:val="Compact"/>
              <w:jc w:val="right"/>
            </w:pPr>
            <w:r>
              <w:t xml:space="preserve">WTD</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16.5</w:t>
            </w:r>
          </w:p>
        </w:tc>
        <w:tc>
          <w:tcPr/>
          <w:p>
            <w:pPr>
              <w:pStyle w:val="Compact"/>
              <w:jc w:val="right"/>
            </w:pPr>
            <w:r>
              <w:t xml:space="preserve">8.3</w:t>
            </w:r>
          </w:p>
        </w:tc>
        <w:tc>
          <w:tcPr/>
          <w:p>
            <w:pPr>
              <w:pStyle w:val="Compact"/>
              <w:jc w:val="right"/>
            </w:pPr>
            <w:r>
              <w:t xml:space="preserve">418</w:t>
            </w:r>
          </w:p>
        </w:tc>
        <w:tc>
          <w:tcPr/>
          <w:p>
            <w:pPr>
              <w:pStyle w:val="Compact"/>
              <w:jc w:val="right"/>
            </w:pPr>
            <w:r>
              <w:t xml:space="preserve">267.2</w:t>
            </w:r>
          </w:p>
        </w:tc>
        <w:tc>
          <w:tcPr/>
          <w:p>
            <w:pPr>
              <w:pStyle w:val="Compact"/>
              <w:jc w:val="right"/>
            </w:pPr>
            <w:r>
              <w:t xml:space="preserve">230.5</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15.4</w:t>
            </w:r>
          </w:p>
        </w:tc>
        <w:tc>
          <w:tcPr/>
          <w:p>
            <w:pPr>
              <w:pStyle w:val="Compact"/>
              <w:jc w:val="right"/>
            </w:pPr>
            <w:r>
              <w:t xml:space="preserve">6.6</w:t>
            </w:r>
          </w:p>
        </w:tc>
        <w:tc>
          <w:tcPr/>
          <w:p>
            <w:pPr>
              <w:pStyle w:val="Compact"/>
              <w:jc w:val="right"/>
            </w:pPr>
            <w:r>
              <w:t xml:space="preserve">429</w:t>
            </w:r>
          </w:p>
        </w:tc>
        <w:tc>
          <w:tcPr/>
          <w:p>
            <w:pPr>
              <w:pStyle w:val="Compact"/>
              <w:jc w:val="right"/>
            </w:pPr>
            <w:r>
              <w:t xml:space="preserve">180.1</w:t>
            </w:r>
          </w:p>
        </w:tc>
        <w:tc>
          <w:tcPr/>
          <w:p>
            <w:pPr>
              <w:pStyle w:val="Compact"/>
              <w:jc w:val="right"/>
            </w:pPr>
            <w:r>
              <w:t xml:space="preserve">438.4</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16.4</w:t>
            </w:r>
          </w:p>
        </w:tc>
        <w:tc>
          <w:tcPr/>
          <w:p>
            <w:pPr>
              <w:pStyle w:val="Compact"/>
              <w:jc w:val="right"/>
            </w:pPr>
            <w:r>
              <w:t xml:space="preserve">8.0</w:t>
            </w:r>
          </w:p>
        </w:tc>
        <w:tc>
          <w:tcPr/>
          <w:p>
            <w:pPr>
              <w:pStyle w:val="Compact"/>
              <w:jc w:val="right"/>
            </w:pPr>
            <w:r>
              <w:t xml:space="preserve">415</w:t>
            </w:r>
          </w:p>
        </w:tc>
        <w:tc>
          <w:tcPr/>
          <w:p>
            <w:pPr>
              <w:pStyle w:val="Compact"/>
              <w:jc w:val="right"/>
            </w:pPr>
            <w:r>
              <w:t xml:space="preserve">281.0</w:t>
            </w:r>
          </w:p>
        </w:tc>
        <w:tc>
          <w:tcPr/>
          <w:p>
            <w:pPr>
              <w:pStyle w:val="Compact"/>
              <w:jc w:val="right"/>
            </w:pPr>
            <w:r>
              <w:t xml:space="preserve">462.3</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15.5</w:t>
            </w:r>
          </w:p>
        </w:tc>
        <w:tc>
          <w:tcPr/>
          <w:p>
            <w:pPr>
              <w:pStyle w:val="Compact"/>
              <w:jc w:val="right"/>
            </w:pPr>
            <w:r>
              <w:t xml:space="preserve">6.1</w:t>
            </w:r>
          </w:p>
        </w:tc>
        <w:tc>
          <w:tcPr/>
          <w:p>
            <w:pPr>
              <w:pStyle w:val="Compact"/>
              <w:jc w:val="right"/>
            </w:pPr>
            <w:r>
              <w:t xml:space="preserve">427</w:t>
            </w:r>
          </w:p>
        </w:tc>
        <w:tc>
          <w:tcPr/>
          <w:p>
            <w:pPr>
              <w:pStyle w:val="Compact"/>
              <w:jc w:val="right"/>
            </w:pPr>
            <w:r>
              <w:t xml:space="preserve">225.2</w:t>
            </w:r>
          </w:p>
        </w:tc>
        <w:tc>
          <w:tcPr/>
          <w:p>
            <w:pPr>
              <w:pStyle w:val="Compact"/>
              <w:jc w:val="right"/>
            </w:pPr>
            <w:r>
              <w:t xml:space="preserve">573.8</w:t>
            </w:r>
          </w:p>
        </w:tc>
      </w:tr>
    </w:tbl>
    <w:bookmarkEnd w:id="33"/>
    <w:bookmarkEnd w:id="34"/>
    <w:bookmarkStart w:id="44" w:name="water-quality-observations"/>
    <w:p>
      <w:pPr>
        <w:pStyle w:val="Heading2"/>
      </w:pPr>
      <w:r>
        <w:t xml:space="preserve">3.2 Water quality observations</w:t>
      </w:r>
    </w:p>
    <w:p>
      <w:pPr>
        <w:pStyle w:val="FirstParagraph"/>
      </w:pPr>
      <w:r>
        <w:t xml:space="preserve">Significant differences were observed in water quality parameters across sites (Table</w:t>
      </w:r>
      <w:r>
        <w:t xml:space="preserve"> </w:t>
      </w:r>
      <w:hyperlink w:anchor="tbl-WQ">
        <w:r>
          <w:rPr>
            <w:rStyle w:val="Hyperlink"/>
          </w:rPr>
          <w:t xml:space="preserve">2</w:t>
        </w:r>
      </w:hyperlink>
      <w:r>
        <w:t xml:space="preserve">, Figure</w:t>
      </w:r>
      <w:r>
        <w:t xml:space="preserve"> </w:t>
      </w:r>
      <w:hyperlink w:anchor="fig-PCA">
        <w:r>
          <w:rPr>
            <w:rStyle w:val="Hyperlink"/>
          </w:rPr>
          <w:t xml:space="preserve">3</w:t>
        </w:r>
      </w:hyperlink>
      <w:r>
        <w:t xml:space="preserve">). Averaged across years, Hogg had significantly higher</w:t>
      </w:r>
      <w:r>
        <w:t xml:space="preserve"> </w:t>
      </w:r>
      <m:oMath>
        <m:r>
          <m:t>S</m:t>
        </m:r>
        <m:sSubSup>
          <m:e>
            <m:r>
              <m:t>O</m:t>
            </m:r>
          </m:e>
          <m:sub>
            <m:r>
              <m:t>4</m:t>
            </m:r>
          </m:sub>
          <m:sup>
            <m:r>
              <m:t>2</m:t>
            </m:r>
            <m:r>
              <m:rPr>
                <m:sty m:val="p"/>
              </m:rPr>
              <m:t>−</m:t>
            </m:r>
          </m:sup>
        </m:sSubSup>
      </m:oMath>
      <w:r>
        <w:t xml:space="preserve">, specific conductivity, dissolved organic carbon (DOC), total dissolved nitrogen (TDN), and Specific ultraviolet absorbance at 280 nm (ABS 280) than Young (Table</w:t>
      </w:r>
      <w:r>
        <w:t xml:space="preserve"> </w:t>
      </w:r>
      <w:hyperlink w:anchor="tbl-WQ">
        <w:r>
          <w:rPr>
            <w:rStyle w:val="Hyperlink"/>
          </w:rPr>
          <w:t xml:space="preserve">2</w:t>
        </w:r>
      </w:hyperlink>
      <w:r>
        <w:t xml:space="preserve">). Conversely, dissolved reactive phosphorus (DRP), total dissolved phosphorus (TDP) concentrations than Young, total phosphorus (TP) was significantly lower at Hogg than Young. No significant differences in pH, NO3 or NO2, or NH4 were observed between sites.</w:t>
      </w:r>
    </w:p>
    <w:bookmarkStart w:id="35" w:name="tbl-WQ"/>
    <w:p>
      <w:pPr>
        <w:pStyle w:val="TableCaption"/>
      </w:pPr>
      <w:r>
        <w:t xml:space="preserve">Table 2: Annual GHG budgets.</w:t>
      </w:r>
    </w:p>
    <w:tbl>
      <w:tblPr>
        <w:tblStyle w:val="Table"/>
        <w:tblW w:type="auto" w:w="0"/>
        <w:tblLook w:firstRow="1" w:lastRow="0" w:firstColumn="0" w:lastColumn="0" w:noHBand="0" w:noVBand="0" w:val="0020"/>
        <w:tblCaption w:val="Table 2: Annual GHG budgets."/>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pH</w:t>
            </w:r>
          </w:p>
        </w:tc>
        <w:tc>
          <w:tcPr/>
          <w:p>
            <w:pPr>
              <w:pStyle w:val="Compact"/>
              <w:jc w:val="right"/>
            </w:pPr>
            <w:r>
              <w:t xml:space="preserve">SO4</w:t>
            </w:r>
          </w:p>
        </w:tc>
        <w:tc>
          <w:tcPr/>
          <w:p>
            <w:pPr>
              <w:pStyle w:val="Compact"/>
              <w:jc w:val="right"/>
            </w:pPr>
            <w:r>
              <w:t xml:space="preserve">Specific_cond</w:t>
            </w:r>
          </w:p>
        </w:tc>
        <w:tc>
          <w:tcPr/>
          <w:p>
            <w:pPr>
              <w:pStyle w:val="Compact"/>
              <w:jc w:val="right"/>
            </w:pPr>
            <w:r>
              <w:t xml:space="preserve">DOC</w:t>
            </w:r>
          </w:p>
        </w:tc>
        <w:tc>
          <w:tcPr/>
          <w:p>
            <w:pPr>
              <w:pStyle w:val="Compact"/>
              <w:jc w:val="right"/>
            </w:pPr>
            <w:r>
              <w:t xml:space="preserve">TDN</w:t>
            </w:r>
          </w:p>
        </w:tc>
        <w:tc>
          <w:tcPr/>
          <w:p>
            <w:pPr>
              <w:pStyle w:val="Compact"/>
              <w:jc w:val="right"/>
            </w:pPr>
            <w:r>
              <w:t xml:space="preserve">NO3_NO2_N</w:t>
            </w:r>
          </w:p>
        </w:tc>
        <w:tc>
          <w:tcPr/>
          <w:p>
            <w:pPr>
              <w:pStyle w:val="Compact"/>
              <w:jc w:val="right"/>
            </w:pPr>
            <w:r>
              <w:t xml:space="preserve">NH4_N</w:t>
            </w:r>
          </w:p>
        </w:tc>
        <w:tc>
          <w:tcPr/>
          <w:p>
            <w:pPr>
              <w:pStyle w:val="Compact"/>
              <w:jc w:val="right"/>
            </w:pPr>
            <w:r>
              <w:t xml:space="preserve">DRP</w:t>
            </w:r>
          </w:p>
        </w:tc>
        <w:tc>
          <w:tcPr/>
          <w:p>
            <w:pPr>
              <w:pStyle w:val="Compact"/>
              <w:jc w:val="right"/>
            </w:pPr>
            <w:r>
              <w:t xml:space="preserve">TDP</w:t>
            </w:r>
          </w:p>
        </w:tc>
        <w:tc>
          <w:tcPr/>
          <w:p>
            <w:pPr>
              <w:pStyle w:val="Compact"/>
              <w:jc w:val="right"/>
            </w:pPr>
            <w:r>
              <w:t xml:space="preserve">TP</w:t>
            </w:r>
          </w:p>
        </w:tc>
        <w:tc>
          <w:tcPr/>
          <w:p>
            <w:pPr>
              <w:pStyle w:val="Compact"/>
              <w:jc w:val="right"/>
            </w:pPr>
            <w:r>
              <w:t xml:space="preserve">ABS_280nm</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1211</w:t>
            </w:r>
          </w:p>
        </w:tc>
        <w:tc>
          <w:tcPr/>
          <w:p>
            <w:pPr>
              <w:pStyle w:val="Compact"/>
              <w:jc w:val="right"/>
            </w:pPr>
            <w:r>
              <w:t xml:space="preserve">3848</w:t>
            </w:r>
          </w:p>
        </w:tc>
        <w:tc>
          <w:tcPr/>
          <w:p>
            <w:pPr>
              <w:pStyle w:val="Compact"/>
              <w:jc w:val="right"/>
            </w:pPr>
            <w:r>
              <w:t xml:space="preserve">95</w:t>
            </w:r>
          </w:p>
        </w:tc>
        <w:tc>
          <w:tcPr/>
          <w:p>
            <w:pPr>
              <w:pStyle w:val="Compact"/>
              <w:jc w:val="right"/>
            </w:pPr>
            <w:r>
              <w:t xml:space="preserve">5</w:t>
            </w:r>
          </w:p>
        </w:tc>
        <w:tc>
          <w:tcPr/>
          <w:p>
            <w:pPr>
              <w:pStyle w:val="Compact"/>
              <w:jc w:val="right"/>
            </w:pPr>
            <w:r>
              <w:t xml:space="preserve">15</w:t>
            </w:r>
          </w:p>
        </w:tc>
        <w:tc>
          <w:tcPr/>
          <w:p>
            <w:pPr>
              <w:pStyle w:val="Compact"/>
              <w:jc w:val="right"/>
            </w:pPr>
            <w:r>
              <w:t xml:space="preserve">116</w:t>
            </w:r>
          </w:p>
        </w:tc>
        <w:tc>
          <w:tcPr/>
          <w:p>
            <w:pPr>
              <w:pStyle w:val="Compact"/>
              <w:jc w:val="right"/>
            </w:pPr>
            <w:r>
              <w:t xml:space="preserve">19</w:t>
            </w:r>
          </w:p>
        </w:tc>
        <w:tc>
          <w:tcPr/>
          <w:p>
            <w:pPr>
              <w:pStyle w:val="Compact"/>
              <w:jc w:val="right"/>
            </w:pPr>
            <w:r>
              <w:t xml:space="preserve">94</w:t>
            </w:r>
          </w:p>
        </w:tc>
        <w:tc>
          <w:tcPr/>
          <w:p>
            <w:pPr>
              <w:pStyle w:val="Compact"/>
              <w:jc w:val="right"/>
            </w:pPr>
            <w:r>
              <w:t xml:space="preserve">181</w:t>
            </w:r>
          </w:p>
        </w:tc>
        <w:tc>
          <w:tcPr/>
          <w:p>
            <w:pPr>
              <w:pStyle w:val="Compact"/>
              <w:jc w:val="right"/>
            </w:pPr>
            <w:r>
              <w:t xml:space="preserve">2</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9</w:t>
            </w:r>
          </w:p>
        </w:tc>
        <w:tc>
          <w:tcPr/>
          <w:p>
            <w:pPr>
              <w:pStyle w:val="Compact"/>
              <w:jc w:val="right"/>
            </w:pPr>
            <w:r>
              <w:t xml:space="preserve">2101</w:t>
            </w:r>
          </w:p>
        </w:tc>
        <w:tc>
          <w:tcPr/>
          <w:p>
            <w:pPr>
              <w:pStyle w:val="Compact"/>
              <w:jc w:val="right"/>
            </w:pPr>
            <w:r>
              <w:t xml:space="preserve">1522</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6</w:t>
            </w:r>
          </w:p>
        </w:tc>
        <w:tc>
          <w:tcPr/>
          <w:p>
            <w:pPr>
              <w:pStyle w:val="Compact"/>
              <w:jc w:val="right"/>
            </w:pPr>
            <w:r>
              <w:t xml:space="preserve">63</w:t>
            </w:r>
          </w:p>
        </w:tc>
        <w:tc>
          <w:tcPr/>
          <w:p>
            <w:pPr>
              <w:pStyle w:val="Compact"/>
              <w:jc w:val="right"/>
            </w:pPr>
            <w:r>
              <w:t xml:space="preserve">155</w:t>
            </w:r>
          </w:p>
        </w:tc>
        <w:tc>
          <w:tcPr/>
          <w:p>
            <w:pPr>
              <w:pStyle w:val="Compact"/>
              <w:jc w:val="right"/>
            </w:pPr>
            <w:r>
              <w:t xml:space="preserve">NaN</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340</w:t>
            </w:r>
          </w:p>
        </w:tc>
        <w:tc>
          <w:tcPr/>
          <w:p>
            <w:pPr>
              <w:pStyle w:val="Compact"/>
              <w:jc w:val="right"/>
            </w:pPr>
            <w:r>
              <w:t xml:space="preserve">1017</w:t>
            </w:r>
          </w:p>
        </w:tc>
        <w:tc>
          <w:tcPr/>
          <w:p>
            <w:pPr>
              <w:pStyle w:val="Compact"/>
              <w:jc w:val="right"/>
            </w:pPr>
            <w:r>
              <w:t xml:space="preserve">30</w:t>
            </w:r>
          </w:p>
        </w:tc>
        <w:tc>
          <w:tcPr/>
          <w:p>
            <w:pPr>
              <w:pStyle w:val="Compact"/>
              <w:jc w:val="right"/>
            </w:pPr>
            <w:r>
              <w:t xml:space="preserve">2</w:t>
            </w:r>
          </w:p>
        </w:tc>
        <w:tc>
          <w:tcPr/>
          <w:p>
            <w:pPr>
              <w:pStyle w:val="Compact"/>
              <w:jc w:val="right"/>
            </w:pPr>
            <w:r>
              <w:t xml:space="preserve">4</w:t>
            </w:r>
          </w:p>
        </w:tc>
        <w:tc>
          <w:tcPr/>
          <w:p>
            <w:pPr>
              <w:pStyle w:val="Compact"/>
              <w:jc w:val="right"/>
            </w:pPr>
            <w:r>
              <w:t xml:space="preserve">44</w:t>
            </w:r>
          </w:p>
        </w:tc>
        <w:tc>
          <w:tcPr/>
          <w:p>
            <w:pPr>
              <w:pStyle w:val="Compact"/>
              <w:jc w:val="right"/>
            </w:pPr>
            <w:r>
              <w:t xml:space="preserve">289</w:t>
            </w:r>
          </w:p>
        </w:tc>
        <w:tc>
          <w:tcPr/>
          <w:p>
            <w:pPr>
              <w:pStyle w:val="Compact"/>
              <w:jc w:val="right"/>
            </w:pPr>
            <w:r>
              <w:t xml:space="preserve">387</w:t>
            </w:r>
          </w:p>
        </w:tc>
        <w:tc>
          <w:tcPr/>
          <w:p>
            <w:pPr>
              <w:pStyle w:val="Compact"/>
              <w:jc w:val="right"/>
            </w:pPr>
            <w:r>
              <w:t xml:space="preserve">505</w:t>
            </w:r>
          </w:p>
        </w:tc>
        <w:tc>
          <w:tcPr/>
          <w:p>
            <w:pPr>
              <w:pStyle w:val="Compact"/>
              <w:jc w:val="right"/>
            </w:pPr>
            <w:r>
              <w:t xml:space="preserve">0</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9</w:t>
            </w:r>
          </w:p>
        </w:tc>
        <w:tc>
          <w:tcPr/>
          <w:p>
            <w:pPr>
              <w:pStyle w:val="Compact"/>
              <w:jc w:val="right"/>
            </w:pPr>
            <w:r>
              <w:t xml:space="preserve">251</w:t>
            </w:r>
          </w:p>
        </w:tc>
        <w:tc>
          <w:tcPr/>
          <w:p>
            <w:pPr>
              <w:pStyle w:val="Compact"/>
              <w:jc w:val="right"/>
            </w:pPr>
            <w:r>
              <w:t xml:space="preserve">822</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394</w:t>
            </w:r>
          </w:p>
        </w:tc>
        <w:tc>
          <w:tcPr/>
          <w:p>
            <w:pPr>
              <w:pStyle w:val="Compact"/>
              <w:jc w:val="right"/>
            </w:pPr>
            <w:r>
              <w:t xml:space="preserve">490</w:t>
            </w:r>
          </w:p>
        </w:tc>
        <w:tc>
          <w:tcPr/>
          <w:p>
            <w:pPr>
              <w:pStyle w:val="Compact"/>
              <w:jc w:val="right"/>
            </w:pPr>
            <w:r>
              <w:t xml:space="preserve">506</w:t>
            </w:r>
          </w:p>
        </w:tc>
        <w:tc>
          <w:tcPr/>
          <w:p>
            <w:pPr>
              <w:pStyle w:val="Compact"/>
              <w:jc w:val="right"/>
            </w:pPr>
            <w:r>
              <w:t xml:space="preserve">NaN</w:t>
            </w:r>
          </w:p>
        </w:tc>
      </w:tr>
    </w:tbl>
    <w:bookmarkEnd w:id="35"/>
    <w:p>
      <w:pPr>
        <w:pStyle w:val="BodyText"/>
      </w:pPr>
      <w:r>
        <w:t xml:space="preserve">Figure out best figure(s) to use.</w:t>
      </w:r>
    </w:p>
    <w:tbl>
      <w:tblPr>
        <w:tblStyle w:val="Table"/>
        <w:tblW w:type="pct" w:w="5000"/>
        <w:tblLook w:firstRow="0" w:lastRow="0" w:firstColumn="0" w:lastColumn="0" w:noHBand="0" w:noVBand="0" w:val="0000"/>
      </w:tblPr>
      <w:tblGrid>
        <w:gridCol w:w="7920"/>
      </w:tblGrid>
      <w:tr>
        <w:tc>
          <w:tcPr/>
          <w:bookmarkStart w:id="39" w:name="fig-SO4"/>
          <w:p>
            <w:pPr>
              <w:pStyle w:val="Figure"/>
              <w:jc w:val="center"/>
            </w:pPr>
            <w:r>
              <w:drawing>
                <wp:inline>
                  <wp:extent cx="2164175" cy="1803001"/>
                  <wp:effectExtent b="0" l="0" r="0" t="0"/>
                  <wp:docPr descr="" title="" id="37" name="Picture"/>
                  <a:graphic>
                    <a:graphicData uri="http://schemas.openxmlformats.org/drawingml/2006/picture">
                      <pic:pic>
                        <pic:nvPicPr>
                          <pic:cNvPr descr="../figures/SO4_bp.png" id="38" name="Picture"/>
                          <pic:cNvPicPr>
                            <a:picLocks noChangeArrowheads="1" noChangeAspect="1"/>
                          </pic:cNvPicPr>
                        </pic:nvPicPr>
                        <pic:blipFill>
                          <a:blip r:embed="rId36"/>
                          <a:stretch>
                            <a:fillRect/>
                          </a:stretch>
                        </pic:blipFill>
                        <pic:spPr bwMode="auto">
                          <a:xfrm>
                            <a:off x="0" y="0"/>
                            <a:ext cx="2164175"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SO4.</w:t>
            </w:r>
          </w:p>
          <w:bookmarkEnd w:id="39"/>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3" w:name="fig-PCA"/>
          <w:p>
            <w:pPr>
              <w:pStyle w:val="Figure"/>
              <w:jc w:val="center"/>
            </w:pPr>
            <w:r>
              <w:drawing>
                <wp:inline>
                  <wp:extent cx="2164175" cy="2886522"/>
                  <wp:effectExtent b="0" l="0" r="0" t="0"/>
                  <wp:docPr descr="" title="" id="41" name="Picture"/>
                  <a:graphic>
                    <a:graphicData uri="http://schemas.openxmlformats.org/drawingml/2006/picture">
                      <pic:pic>
                        <pic:nvPicPr>
                          <pic:cNvPr descr="../figures/PCA_WQ.png" id="42" name="Picture"/>
                          <pic:cNvPicPr>
                            <a:picLocks noChangeArrowheads="1" noChangeAspect="1"/>
                          </pic:cNvPicPr>
                        </pic:nvPicPr>
                        <pic:blipFill>
                          <a:blip r:embed="rId40"/>
                          <a:stretch>
                            <a:fillRect/>
                          </a:stretch>
                        </pic:blipFill>
                        <pic:spPr bwMode="auto">
                          <a:xfrm>
                            <a:off x="0" y="0"/>
                            <a:ext cx="2164175" cy="2886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PCA.</w:t>
            </w:r>
          </w:p>
          <w:bookmarkEnd w:id="43"/>
        </w:tc>
      </w:tr>
    </w:tbl>
    <w:bookmarkEnd w:id="44"/>
    <w:bookmarkStart w:id="50" w:name="ghg-fluxes"/>
    <w:p>
      <w:pPr>
        <w:pStyle w:val="Heading2"/>
      </w:pPr>
      <w:r>
        <w:t xml:space="preserve">3.3 GHG fluxes</w:t>
      </w:r>
    </w:p>
    <w:p>
      <w:pPr>
        <w:pStyle w:val="FirstParagraph"/>
      </w:pPr>
      <w:r>
        <w:t xml:space="preserve">Both wetland sites were net</w:t>
      </w:r>
      <w:r>
        <w:t xml:space="preserve"> </w:t>
      </w:r>
      <m:oMath>
        <m:r>
          <m:t>C</m:t>
        </m:r>
        <m:sSub>
          <m:e>
            <m:r>
              <m:t>O</m:t>
            </m:r>
          </m:e>
          <m:sub>
            <m:r>
              <m:t>2</m:t>
            </m:r>
          </m:sub>
        </m:sSub>
      </m:oMath>
      <w:r>
        <w:t xml:space="preserve"> </w:t>
      </w:r>
      <w:r>
        <w:t xml:space="preserve">sources over the course of the growing season, although net</w:t>
      </w:r>
      <w:r>
        <w:t xml:space="preserve"> </w:t>
      </w:r>
      <m:oMath>
        <m:r>
          <m:t>C</m:t>
        </m:r>
        <m:sSub>
          <m:e>
            <m:r>
              <m:t>O</m:t>
            </m:r>
          </m:e>
          <m:sub>
            <m:r>
              <m:t>2</m:t>
            </m:r>
          </m:sub>
        </m:sSub>
      </m:oMath>
      <w:r>
        <w:t xml:space="preserve"> </w:t>
      </w:r>
      <w:r>
        <w:t xml:space="preserve">update was lower at Young relative to Hogg due to lower GPP at Young (Figure</w:t>
      </w:r>
      <w:r>
        <w:t xml:space="preserve"> </w:t>
      </w:r>
      <w:hyperlink w:anchor="fig-fluxes">
        <w:r>
          <w:rPr>
            <w:rStyle w:val="Hyperlink"/>
          </w:rPr>
          <w:t xml:space="preserve">4</w:t>
        </w:r>
      </w:hyperlink>
      <w:r>
        <w:t xml:space="preserve">). Annually, this resulted in in Hogg being a net</w:t>
      </w:r>
      <w:r>
        <w:t xml:space="preserve"> </w:t>
      </w:r>
      <m:oMath>
        <m:r>
          <m:t>C</m:t>
        </m:r>
        <m:sSub>
          <m:e>
            <m:r>
              <m:t>O</m:t>
            </m:r>
          </m:e>
          <m:sub>
            <m:r>
              <m:t>2</m:t>
            </m:r>
          </m:sub>
        </m:sSub>
      </m:oMath>
      <w:r>
        <w:t xml:space="preserve"> </w:t>
      </w:r>
      <w:r>
        <w:t xml:space="preserve">sink in 2021-2022, taking up 34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while Young was a net</w:t>
      </w:r>
      <w:r>
        <w:t xml:space="preserve"> </w:t>
      </w:r>
      <m:oMath>
        <m:r>
          <m:t>C</m:t>
        </m:r>
        <m:sSub>
          <m:e>
            <m:r>
              <m:t>O</m:t>
            </m:r>
          </m:e>
          <m:sub>
            <m:r>
              <m:t>2</m:t>
            </m:r>
          </m:sub>
        </m:sSub>
      </m:oMath>
      <w:r>
        <w:t xml:space="preserve"> </w:t>
      </w:r>
      <w:r>
        <w:t xml:space="preserve">source of 57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Cumulative annual GPP at Hogg was 31% greater than Young, while differences in annual Reco were smaller between sites (~10%) (Table</w:t>
      </w:r>
      <w:r>
        <w:t xml:space="preserve"> </w:t>
      </w:r>
      <w:hyperlink w:anchor="tbl-fluxes">
        <w:r>
          <w:rPr>
            <w:rStyle w:val="Hyperlink"/>
          </w:rPr>
          <w:t xml:space="preserve">3</w:t>
        </w:r>
      </w:hyperlink>
      <w:r>
        <w:t xml:space="preserve">)</w:t>
      </w:r>
    </w:p>
    <w:p>
      <w:pPr>
        <w:pStyle w:val="BodyText"/>
      </w:pPr>
      <w:r>
        <w:t xml:space="preserve">Relative difference in</w:t>
      </w:r>
      <w:r>
        <w:t xml:space="preserve"> </w:t>
      </w:r>
      <m:oMath>
        <m:r>
          <m:t>C</m:t>
        </m:r>
        <m:sSub>
          <m:e>
            <m:r>
              <m:t>H</m:t>
            </m:r>
          </m:e>
          <m:sub>
            <m:r>
              <m:t>4</m:t>
            </m:r>
          </m:sub>
        </m:sSub>
      </m:oMath>
      <w:r>
        <w:t xml:space="preserve"> </w:t>
      </w:r>
      <w:r>
        <w:t xml:space="preserve">fluxes were even larger between sites (Figure</w:t>
      </w:r>
      <w:r>
        <w:t xml:space="preserve"> </w:t>
      </w:r>
      <w:hyperlink w:anchor="fig-fluxes">
        <w:r>
          <w:rPr>
            <w:rStyle w:val="Hyperlink"/>
          </w:rPr>
          <w:t xml:space="preserve">4</w:t>
        </w:r>
      </w:hyperlink>
      <w:r>
        <w:t xml:space="preserve">; Table</w:t>
      </w:r>
      <w:r>
        <w:t xml:space="preserve"> </w:t>
      </w:r>
      <w:hyperlink w:anchor="tbl-fluxes">
        <w:r>
          <w:rPr>
            <w:rStyle w:val="Hyperlink"/>
          </w:rPr>
          <w:t xml:space="preserve">3</w:t>
        </w:r>
      </w:hyperlink>
      <w:r>
        <w:t xml:space="preserve">). While Young showed a strong seasonal cycle in FCH4 over the course of the year, with daily emissions exceeding &gt;100 mgC</w:t>
      </w:r>
      <w:r>
        <w:t xml:space="preserve"> </w:t>
      </w:r>
      <m:oMath>
        <m:sSup>
          <m:e>
            <m:r>
              <m:t>m</m:t>
            </m:r>
          </m:e>
          <m:sup>
            <m:r>
              <m:rPr>
                <m:sty m:val="p"/>
              </m:rPr>
              <m:t>−</m:t>
            </m:r>
            <m:r>
              <m:t>2</m:t>
            </m:r>
          </m:sup>
        </m:sSup>
      </m:oMath>
      <w:r>
        <w:t xml:space="preserve"> </w:t>
      </w:r>
      <m:oMath>
        <m:sSup>
          <m:e>
            <m:r>
              <m:t>d</m:t>
            </m:r>
          </m:e>
          <m:sup>
            <m:r>
              <m:rPr>
                <m:sty m:val="p"/>
              </m:rPr>
              <m:t>−</m:t>
            </m:r>
            <m:r>
              <m:t>1</m:t>
            </m:r>
          </m:sup>
        </m:sSup>
      </m:oMath>
      <w:r>
        <w:t xml:space="preserve"> </w:t>
      </w:r>
      <w:r>
        <w:t xml:space="preserve">during the growing season, emissions at Hogg hovered near zero across the measurement period. As such, cumulative annual FCH4 at Young was &gt;6 time larger at Young relative to Hogg (7.6 versus 1.12 gC</w:t>
      </w:r>
      <w:r>
        <w:t xml:space="preserve"> </w:t>
      </w:r>
      <m:oMath>
        <m:sSup>
          <m:e>
            <m:r>
              <m:t>m</m:t>
            </m:r>
          </m:e>
          <m:sup>
            <m:r>
              <m:rPr>
                <m:sty m:val="p"/>
              </m:rPr>
              <m:t>−</m:t>
            </m:r>
            <m:r>
              <m:t>2</m:t>
            </m:r>
          </m:sup>
        </m:sSup>
      </m:oMath>
      <w:r>
        <w:t xml:space="preserve"> </w:t>
      </w:r>
      <m:oMath>
        <m:r>
          <m:t>y</m:t>
        </m:r>
        <m:sSup>
          <m:e>
            <m:r>
              <m:t>r</m:t>
            </m:r>
          </m:e>
          <m:sup>
            <m:r>
              <m:rPr>
                <m:sty m:val="p"/>
              </m:rPr>
              <m:t>−</m:t>
            </m:r>
            <m:r>
              <m:t>1</m:t>
            </m:r>
          </m:sup>
        </m:sSup>
      </m:oMath>
      <w:r>
        <w:t xml:space="preserve">, respectively) (Table</w:t>
      </w:r>
      <w:r>
        <w:t xml:space="preserve"> </w:t>
      </w:r>
      <w:hyperlink w:anchor="tbl-fluxes">
        <w:r>
          <w:rPr>
            <w:rStyle w:val="Hyperlink"/>
          </w:rPr>
          <w:t xml:space="preserve">3</w:t>
        </w:r>
      </w:hyperlink>
      <w:r>
        <w:t xml:space="preserve">).</w:t>
      </w:r>
    </w:p>
    <w:tbl>
      <w:tblPr>
        <w:tblStyle w:val="Table"/>
        <w:tblW w:type="pct" w:w="5000"/>
        <w:tblLook w:firstRow="0" w:lastRow="0" w:firstColumn="0" w:lastColumn="0" w:noHBand="0" w:noVBand="0" w:val="0000"/>
      </w:tblPr>
      <w:tblGrid>
        <w:gridCol w:w="7920"/>
      </w:tblGrid>
      <w:tr>
        <w:tc>
          <w:tcPr/>
          <w:bookmarkStart w:id="48" w:name="fig-fluxes"/>
          <w:p>
            <w:pPr>
              <w:pStyle w:val="Figure"/>
              <w:jc w:val="center"/>
            </w:pPr>
            <w:r>
              <w:drawing>
                <wp:inline>
                  <wp:extent cx="4331217" cy="4331217"/>
                  <wp:effectExtent b="0" l="0" r="0" t="0"/>
                  <wp:docPr descr="" title="" id="46" name="Picture"/>
                  <a:graphic>
                    <a:graphicData uri="http://schemas.openxmlformats.org/drawingml/2006/picture">
                      <pic:pic>
                        <pic:nvPicPr>
                          <pic:cNvPr descr="../figures/flux_ts.png" id="47" name="Picture"/>
                          <pic:cNvPicPr>
                            <a:picLocks noChangeArrowheads="1" noChangeAspect="1"/>
                          </pic:cNvPicPr>
                        </pic:nvPicPr>
                        <pic:blipFill>
                          <a:blip r:embed="rId45"/>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Fluxes.</w:t>
            </w:r>
          </w:p>
          <w:bookmarkEnd w:id="48"/>
        </w:tc>
      </w:tr>
    </w:tbl>
    <w:p>
      <w:pPr>
        <w:pStyle w:val="BodyText"/>
      </w:pPr>
      <w:r>
        <w:t xml:space="preserve">(Table</w:t>
      </w:r>
      <w:r>
        <w:t xml:space="preserve"> </w:t>
      </w:r>
      <w:hyperlink w:anchor="tbl-fluxes">
        <w:r>
          <w:rPr>
            <w:rStyle w:val="Hyperlink"/>
          </w:rPr>
          <w:t xml:space="preserve">3</w:t>
        </w:r>
      </w:hyperlink>
      <w:r>
        <w:t xml:space="preserve">)</w:t>
      </w:r>
    </w:p>
    <w:bookmarkStart w:id="49" w:name="tbl-fluxes"/>
    <w:p>
      <w:pPr>
        <w:pStyle w:val="TableCaption"/>
      </w:pPr>
      <w:r>
        <w:t xml:space="preserve">Table 3: Differences in fluxes across sites.</w:t>
      </w:r>
    </w:p>
    <w:tbl>
      <w:tblPr>
        <w:tblStyle w:val="Table"/>
        <w:tblW w:type="auto" w:w="0"/>
        <w:tblLook w:firstRow="1" w:lastRow="0" w:firstColumn="0" w:lastColumn="0" w:noHBand="0" w:noVBand="0" w:val="0020"/>
        <w:tblCaption w:val="Table 3: Differences in fluxes across sites."/>
      </w:tblPr>
      <w:tblGrid>
        <w:gridCol w:w="990"/>
        <w:gridCol w:w="990"/>
        <w:gridCol w:w="990"/>
        <w:gridCol w:w="990"/>
        <w:gridCol w:w="990"/>
        <w:gridCol w:w="990"/>
        <w:gridCol w:w="990"/>
        <w:gridCol w:w="990"/>
      </w:tblGrid>
      <w:tr>
        <w:trPr>
          <w:tblHeader w:val="true"/>
        </w:trPr>
        <w:tc>
          <w:tcPr/>
          <w:p>
            <w:pPr>
              <w:pStyle w:val="Compact"/>
            </w:pPr>
          </w:p>
        </w:tc>
        <w:tc>
          <w:tcPr/>
          <w:p>
            <w:pPr>
              <w:pStyle w:val="Compact"/>
              <w:jc w:val="left"/>
            </w:pPr>
            <w:r>
              <w:t xml:space="preserve">NEE</w:t>
            </w:r>
          </w:p>
        </w:tc>
        <w:tc>
          <w:tcPr/>
          <w:p>
            <w:pPr>
              <w:pStyle w:val="Compact"/>
              <w:jc w:val="left"/>
            </w:pPr>
            <w:r>
              <w:t xml:space="preserve">FCH4</w:t>
            </w:r>
          </w:p>
        </w:tc>
        <w:tc>
          <w:tcPr/>
          <w:p>
            <w:pPr>
              <w:pStyle w:val="Compact"/>
              <w:jc w:val="left"/>
            </w:pPr>
            <w:r>
              <w:t xml:space="preserve">GPP_DT</w:t>
            </w:r>
          </w:p>
        </w:tc>
        <w:tc>
          <w:tcPr/>
          <w:p>
            <w:pPr>
              <w:pStyle w:val="Compact"/>
              <w:jc w:val="left"/>
            </w:pPr>
            <w:r>
              <w:t xml:space="preserve">GPP_NT</w:t>
            </w:r>
          </w:p>
        </w:tc>
        <w:tc>
          <w:tcPr/>
          <w:p>
            <w:pPr>
              <w:pStyle w:val="Compact"/>
              <w:jc w:val="left"/>
            </w:pPr>
            <w:r>
              <w:t xml:space="preserve">Reco_DT</w:t>
            </w:r>
          </w:p>
        </w:tc>
        <w:tc>
          <w:tcPr/>
          <w:p>
            <w:pPr>
              <w:pStyle w:val="Compact"/>
              <w:jc w:val="left"/>
            </w:pPr>
            <w:r>
              <w:t xml:space="preserve">Reco_NT</w:t>
            </w:r>
          </w:p>
        </w:tc>
        <w:tc>
          <w:tcPr/>
          <w:p>
            <w:pPr>
              <w:pStyle w:val="Compact"/>
              <w:jc w:val="left"/>
            </w:pPr>
            <w:r>
              <w:t xml:space="preserve">GHG</w:t>
            </w:r>
          </w:p>
        </w:tc>
      </w:tr>
      <w:tr>
        <w:tc>
          <w:tcPr/>
          <w:p>
            <w:pPr>
              <w:pStyle w:val="Compact"/>
              <w:jc w:val="left"/>
            </w:pPr>
            <w:r>
              <w:t xml:space="preserve">Hogg</w:t>
            </w:r>
          </w:p>
        </w:tc>
        <w:tc>
          <w:tcPr/>
          <w:p>
            <w:pPr>
              <w:pStyle w:val="Compact"/>
              <w:jc w:val="left"/>
            </w:pPr>
            <w:r>
              <w:t xml:space="preserve">-35 ± 20</w:t>
            </w:r>
          </w:p>
        </w:tc>
        <w:tc>
          <w:tcPr/>
          <w:p>
            <w:pPr>
              <w:pStyle w:val="Compact"/>
              <w:jc w:val="left"/>
            </w:pPr>
            <w:r>
              <w:t xml:space="preserve">1.9 ± TBD</w:t>
            </w:r>
          </w:p>
        </w:tc>
        <w:tc>
          <w:tcPr/>
          <w:p>
            <w:pPr>
              <w:pStyle w:val="Compact"/>
              <w:jc w:val="left"/>
            </w:pPr>
            <w:r>
              <w:t xml:space="preserve">838 ± 4</w:t>
            </w:r>
          </w:p>
        </w:tc>
        <w:tc>
          <w:tcPr/>
          <w:p>
            <w:pPr>
              <w:pStyle w:val="Compact"/>
              <w:jc w:val="left"/>
            </w:pPr>
            <w:r>
              <w:t xml:space="preserve">869 ± TBD</w:t>
            </w:r>
          </w:p>
        </w:tc>
        <w:tc>
          <w:tcPr/>
          <w:p>
            <w:pPr>
              <w:pStyle w:val="Compact"/>
              <w:jc w:val="left"/>
            </w:pPr>
            <w:r>
              <w:t xml:space="preserve">677 ± 835</w:t>
            </w:r>
          </w:p>
        </w:tc>
        <w:tc>
          <w:tcPr/>
          <w:p>
            <w:pPr>
              <w:pStyle w:val="Compact"/>
              <w:jc w:val="left"/>
            </w:pPr>
            <w:r>
              <w:t xml:space="preserve">834 ± TBD</w:t>
            </w:r>
          </w:p>
        </w:tc>
        <w:tc>
          <w:tcPr/>
          <w:p>
            <w:pPr>
              <w:pStyle w:val="Compact"/>
              <w:jc w:val="left"/>
            </w:pPr>
            <w:r>
              <w:t xml:space="preserve">-4 ± TBD</w:t>
            </w:r>
          </w:p>
        </w:tc>
      </w:tr>
      <w:tr>
        <w:tc>
          <w:tcPr/>
          <w:p>
            <w:pPr>
              <w:pStyle w:val="Compact"/>
              <w:jc w:val="left"/>
            </w:pPr>
            <w:r>
              <w:t xml:space="preserve">Young</w:t>
            </w:r>
          </w:p>
        </w:tc>
        <w:tc>
          <w:tcPr/>
          <w:p>
            <w:pPr>
              <w:pStyle w:val="Compact"/>
              <w:jc w:val="left"/>
            </w:pPr>
            <w:r>
              <w:t xml:space="preserve">49 ± 21</w:t>
            </w:r>
          </w:p>
        </w:tc>
        <w:tc>
          <w:tcPr/>
          <w:p>
            <w:pPr>
              <w:pStyle w:val="Compact"/>
              <w:jc w:val="left"/>
            </w:pPr>
            <w:r>
              <w:t xml:space="preserve">6.8 ± TBD</w:t>
            </w:r>
          </w:p>
        </w:tc>
        <w:tc>
          <w:tcPr/>
          <w:p>
            <w:pPr>
              <w:pStyle w:val="Compact"/>
              <w:jc w:val="left"/>
            </w:pPr>
            <w:r>
              <w:t xml:space="preserve">641 ± 18</w:t>
            </w:r>
          </w:p>
        </w:tc>
        <w:tc>
          <w:tcPr/>
          <w:p>
            <w:pPr>
              <w:pStyle w:val="Compact"/>
              <w:jc w:val="left"/>
            </w:pPr>
            <w:r>
              <w:t xml:space="preserve">658 ± TBD</w:t>
            </w:r>
          </w:p>
        </w:tc>
        <w:tc>
          <w:tcPr/>
          <w:p>
            <w:pPr>
              <w:pStyle w:val="Compact"/>
              <w:jc w:val="left"/>
            </w:pPr>
            <w:r>
              <w:t xml:space="preserve">621 ± 707</w:t>
            </w:r>
          </w:p>
        </w:tc>
        <w:tc>
          <w:tcPr/>
          <w:p>
            <w:pPr>
              <w:pStyle w:val="Compact"/>
              <w:jc w:val="left"/>
            </w:pPr>
            <w:r>
              <w:t xml:space="preserve">707 ± TBD</w:t>
            </w:r>
          </w:p>
        </w:tc>
        <w:tc>
          <w:tcPr/>
          <w:p>
            <w:pPr>
              <w:pStyle w:val="Compact"/>
              <w:jc w:val="left"/>
            </w:pPr>
            <w:r>
              <w:t xml:space="preserve">616 ± TBD</w:t>
            </w:r>
          </w:p>
        </w:tc>
      </w:tr>
    </w:tbl>
    <w:bookmarkEnd w:id="49"/>
    <w:bookmarkEnd w:id="50"/>
    <w:bookmarkStart w:id="51" w:name="driver-of-fch4"/>
    <w:p>
      <w:pPr>
        <w:pStyle w:val="Heading2"/>
      </w:pPr>
      <w:r>
        <w:t xml:space="preserve">3.4 Driver of FCH4</w:t>
      </w:r>
    </w:p>
    <w:bookmarkEnd w:id="51"/>
    <w:bookmarkEnd w:id="52"/>
    <w:bookmarkStart w:id="53" w:name="discussion"/>
    <w:p>
      <w:pPr>
        <w:pStyle w:val="Heading1"/>
      </w:pPr>
      <w:r>
        <w:t xml:space="preserve">4.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bookmarkEnd w:id="53"/>
    <w:bookmarkStart w:id="57" w:name="references"/>
    <w:p>
      <w:pPr>
        <w:pStyle w:val="Heading1"/>
      </w:pPr>
      <w:r>
        <w:t xml:space="preserve">References</w:t>
      </w:r>
    </w:p>
    <w:bookmarkStart w:id="56" w:name="refs"/>
    <w:bookmarkStart w:id="55"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54">
        <w:r>
          <w:rPr>
            <w:rStyle w:val="Hyperlink"/>
          </w:rPr>
          <w:t xml:space="preserve">https://doi.org/10.1007/s11273-011-9214-6</w:t>
        </w:r>
      </w:hyperlink>
      <w:r>
        <w:t xml:space="preserve">, 2011.</w:t>
      </w:r>
    </w:p>
    <w:bookmarkEnd w:id="55"/>
    <w:bookmarkEnd w:id="56"/>
    <w:p>
      <w:r>
        <w:br w:type="page"/>
      </w:r>
    </w:p>
    <w:bookmarkEnd w:id="57"/>
    <w:bookmarkStart w:id="58" w:name="tables"/>
    <w:p>
      <w:pPr>
        <w:pStyle w:val="Heading1"/>
      </w:pPr>
      <w:r>
        <w:t xml:space="preserve">Tables</w:t>
      </w:r>
    </w:p>
    <w:p>
      <w:r>
        <w:br w:type="page"/>
      </w:r>
    </w:p>
    <w:bookmarkEnd w:id="58"/>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hyperlink" Id="rId54"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2023-05-24T04:42:14Z</dcterms:created>
  <dcterms:modified xsi:type="dcterms:W3CDTF">2023-05-24T04:42:14Z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5/23/23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