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4/18/23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quality-measurements"/>
    <w:p>
      <w:pPr>
        <w:pStyle w:val="Heading3"/>
      </w:pPr>
      <w:r>
        <w:t xml:space="preserve">2.4.1 Water quality measurements</w:t>
      </w:r>
    </w:p>
    <w:p>
      <w:pPr>
        <w:pStyle w:val="FirstParagraph"/>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A two-sample Wilcoxon test was used to assess differences in water quality parameters between sites (NOTE TO DELETE: this is for variables with only 1 year) due to the small sample size and the fact that a number of quality parameters were not normally distributed.This was done using the</w:t>
      </w:r>
      <w:r>
        <w:t xml:space="preserve"> </w:t>
      </w:r>
      <w:r>
        <w:rPr>
          <w:rStyle w:val="VerbatimChar"/>
        </w:rPr>
        <w:t xml:space="preserve">wilcox.test</w:t>
      </w:r>
      <w:r>
        <w:t xml:space="preserve"> </w:t>
      </w:r>
      <w:r>
        <w:t xml:space="preserve">function from the</w:t>
      </w:r>
      <w:r>
        <w:t xml:space="preserve"> </w:t>
      </w:r>
      <w:r>
        <w:rPr>
          <w:rStyle w:val="VerbatimChar"/>
        </w:rPr>
        <w:t xml:space="preserve">stats</w:t>
      </w:r>
      <w:r>
        <w:t xml:space="preserve"> </w:t>
      </w:r>
      <w:r>
        <w:t xml:space="preserve">package.</w:t>
      </w:r>
    </w:p>
    <w:p>
      <w:pPr>
        <w:pStyle w:val="BodyText"/>
      </w:pPr>
      <w:r>
        <w:t xml:space="preserve">When water quality parameters were available for multiple years, significant differences in water quality parameters between sites, years and the interaction between site and years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r>
        <w:t xml:space="preserve"> </w:t>
      </w:r>
      <w:r>
        <w:t xml:space="preserve">As certain water quality parameters were highly correlated (Figure</w:t>
      </w:r>
      <w:r>
        <w:t xml:space="preserve"> </w:t>
      </w:r>
      <w:hyperlink w:anchor="fig-PCA">
        <w:r>
          <w:rPr>
            <w:rStyle w:val="Hyperlink"/>
          </w:rPr>
          <w:t xml:space="preserve">2</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44" w:name="results"/>
    <w:p>
      <w:pPr>
        <w:pStyle w:val="Heading1"/>
      </w:pPr>
      <w:r>
        <w:t xml:space="preserve">3. Results</w:t>
      </w:r>
    </w:p>
    <w:bookmarkStart w:id="43" w:name="weather-and-hydrological-conditions"/>
    <w:p>
      <w:pPr>
        <w:pStyle w:val="Heading2"/>
      </w:pPr>
      <w:r>
        <w:t xml:space="preserve">3.1 Weather and hydrological conditions</w:t>
      </w:r>
    </w:p>
    <w:bookmarkStart w:id="42" w:name="water-quality"/>
    <w:p>
      <w:pPr>
        <w:pStyle w:val="Heading3"/>
      </w:pPr>
      <w:r>
        <w:t xml:space="preserve">3.1.1 Water quality</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2</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29" w:name="tbl-WQ"/>
    <w:p>
      <w:pPr>
        <w:pStyle w:val="TableCaption"/>
      </w:pPr>
      <w:r>
        <w:t xml:space="preserve">Table 1: Differences in water quality parameters across sites.</w:t>
      </w:r>
    </w:p>
    <w:tbl>
      <w:tblPr>
        <w:tblStyle w:val="Table"/>
        <w:tblW w:type="auto" w:w="0"/>
        <w:tblLook w:firstRow="1" w:lastRow="0" w:firstColumn="0" w:lastColumn="0" w:noHBand="0" w:noVBand="0" w:val="0020"/>
        <w:tblCaption w:val="Table 1: Differences in water quality parameters across sit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bookmarkEnd w:id="29"/>
    <w:p>
      <w:pPr>
        <w:pStyle w:val="BodyText"/>
      </w:pPr>
      <w:r>
        <w:t xml:space="preserve">Figure</w:t>
      </w:r>
      <w:r>
        <w:t xml:space="preserve"> </w:t>
      </w:r>
      <w:hyperlink w:anchor="fig-SO4">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3" w:name="fig-SO4"/>
          <w:p>
            <w:pPr>
              <w:pStyle w:val="Figure"/>
              <w:jc w:val="center"/>
            </w:pPr>
            <w:r>
              <w:drawing>
                <wp:inline>
                  <wp:extent cx="2164175" cy="1803001"/>
                  <wp:effectExtent b="0" l="0" r="0" t="0"/>
                  <wp:docPr descr="" title="" id="31" name="Picture"/>
                  <a:graphic>
                    <a:graphicData uri="http://schemas.openxmlformats.org/drawingml/2006/picture">
                      <pic:pic>
                        <pic:nvPicPr>
                          <pic:cNvPr descr="../figures/SO4_bp.png" id="32" name="Picture"/>
                          <pic:cNvPicPr>
                            <a:picLocks noChangeArrowheads="1" noChangeAspect="1"/>
                          </pic:cNvPicPr>
                        </pic:nvPicPr>
                        <pic:blipFill>
                          <a:blip r:embed="rId30"/>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SO4.</w:t>
            </w:r>
          </w:p>
          <w:bookmarkEnd w:id="33"/>
        </w:tc>
      </w:tr>
    </w:tbl>
    <w:p>
      <w:pPr>
        <w:pStyle w:val="BodyText"/>
      </w:pPr>
      <w:r>
        <w:t xml:space="preserve">Figure</w:t>
      </w:r>
      <w:r>
        <w:t xml:space="preserve"> </w:t>
      </w:r>
      <w:hyperlink w:anchor="fig-PCA">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7" w:name="fig-PCA"/>
          <w:p>
            <w:pPr>
              <w:pStyle w:val="Figure"/>
              <w:jc w:val="center"/>
            </w:pPr>
            <w:r>
              <w:drawing>
                <wp:inline>
                  <wp:extent cx="2164175" cy="2886522"/>
                  <wp:effectExtent b="0" l="0" r="0" t="0"/>
                  <wp:docPr descr="" title="" id="35" name="Picture"/>
                  <a:graphic>
                    <a:graphicData uri="http://schemas.openxmlformats.org/drawingml/2006/picture">
                      <pic:pic>
                        <pic:nvPicPr>
                          <pic:cNvPr descr="../figures/PCA_WQ.png" id="36" name="Picture"/>
                          <pic:cNvPicPr>
                            <a:picLocks noChangeArrowheads="1" noChangeAspect="1"/>
                          </pic:cNvPicPr>
                        </pic:nvPicPr>
                        <pic:blipFill>
                          <a:blip r:embed="rId34"/>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PCA.</w:t>
            </w:r>
          </w:p>
          <w:bookmarkEnd w:id="37"/>
        </w:tc>
      </w:tr>
    </w:tbl>
    <w:p>
      <w:pPr>
        <w:pStyle w:val="BodyText"/>
      </w:pPr>
      <w:r>
        <w:t xml:space="preserve">Figure</w:t>
      </w:r>
      <w:r>
        <w:t xml:space="preserve"> </w:t>
      </w:r>
      <w:hyperlink w:anchor="fig-NEE">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1" w:name="fig-NEE"/>
          <w:p>
            <w:pPr>
              <w:pStyle w:val="Figure"/>
              <w:jc w:val="center"/>
            </w:pPr>
            <w:r>
              <w:drawing>
                <wp:inline>
                  <wp:extent cx="3247696" cy="1803001"/>
                  <wp:effectExtent b="0" l="0" r="0" t="0"/>
                  <wp:docPr descr="" title="" id="39" name="Picture"/>
                  <a:graphic>
                    <a:graphicData uri="http://schemas.openxmlformats.org/drawingml/2006/picture">
                      <pic:pic>
                        <pic:nvPicPr>
                          <pic:cNvPr descr="../figures/NEE.png" id="40" name="Picture"/>
                          <pic:cNvPicPr>
                            <a:picLocks noChangeArrowheads="1" noChangeAspect="1"/>
                          </pic:cNvPicPr>
                        </pic:nvPicPr>
                        <pic:blipFill>
                          <a:blip r:embed="rId38"/>
                          <a:stretch>
                            <a:fillRect/>
                          </a:stretch>
                        </pic:blipFill>
                        <pic:spPr bwMode="auto">
                          <a:xfrm>
                            <a:off x="0" y="0"/>
                            <a:ext cx="3247696"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NEE.</w:t>
            </w:r>
          </w:p>
          <w:bookmarkEnd w:id="41"/>
        </w:tc>
      </w:tr>
    </w:tbl>
    <w:bookmarkEnd w:id="42"/>
    <w:bookmarkEnd w:id="43"/>
    <w:bookmarkEnd w:id="44"/>
    <w:bookmarkStart w:id="45"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5"/>
    <w:bookmarkStart w:id="49" w:name="references"/>
    <w:p>
      <w:pPr>
        <w:pStyle w:val="Heading1"/>
      </w:pPr>
      <w:r>
        <w:t xml:space="preserve">References</w:t>
      </w:r>
    </w:p>
    <w:bookmarkStart w:id="48" w:name="refs"/>
    <w:bookmarkStart w:id="47"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6">
        <w:r>
          <w:rPr>
            <w:rStyle w:val="Hyperlink"/>
          </w:rPr>
          <w:t xml:space="preserve">https://doi.org/10.1007/s11273-011-9214-6</w:t>
        </w:r>
      </w:hyperlink>
      <w:r>
        <w:t xml:space="preserve">, 2011.</w:t>
      </w:r>
    </w:p>
    <w:bookmarkEnd w:id="47"/>
    <w:bookmarkEnd w:id="48"/>
    <w:p>
      <w:r>
        <w:br w:type="page"/>
      </w:r>
    </w:p>
    <w:bookmarkEnd w:id="49"/>
    <w:bookmarkStart w:id="50" w:name="tables"/>
    <w:p>
      <w:pPr>
        <w:pStyle w:val="Heading1"/>
      </w:pPr>
      <w:r>
        <w:t xml:space="preserve">Tables</w:t>
      </w:r>
    </w:p>
    <w:p>
      <w:r>
        <w:br w:type="page"/>
      </w:r>
    </w:p>
    <w:bookmarkEnd w:id="50"/>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6"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2023-04-18T17:00:44Z</dcterms:created>
  <dcterms:modified xsi:type="dcterms:W3CDTF">2023-04-18T17:00:44Z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4/18/23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