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40.png" ContentType="image/png"/>
  <Override PartName="/word/media/rId3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6/5/23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sampling-and-analysis"/>
    <w:p>
      <w:pPr>
        <w:pStyle w:val="Heading3"/>
      </w:pPr>
      <w:r>
        <w:t xml:space="preserve">2.4.1 Water sampling and analysis</w:t>
      </w:r>
    </w:p>
    <w:p>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pPr>
        <w:pStyle w:val="BodyText"/>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pPr>
        <w:pStyle w:val="BodyText"/>
      </w:pPr>
      <w:r>
        <w:t xml:space="preserve">Multivariate associations of water quality parameters across sites were analyzed using principal component analysis (PCA). All variables were centered and scaled, and PCA was done using the</w:t>
      </w:r>
      <w:r>
        <w:t xml:space="preserve"> </w:t>
      </w:r>
      <w:r>
        <w:t xml:space="preserve">‘</w:t>
      </w:r>
      <w:r>
        <w:t xml:space="preserve">prcomp</w:t>
      </w:r>
      <w:r>
        <w:t xml:space="preserve">’</w:t>
      </w:r>
      <w:r>
        <w:t xml:space="preserve"> </w:t>
      </w:r>
      <w:r>
        <w:t xml:space="preserve">function in base R.</w:t>
      </w:r>
    </w:p>
    <w:p>
      <w:pPr>
        <w:pStyle w:val="BodyText"/>
      </w:pPr>
      <w:r>
        <w:t xml:space="preserve">To investigate the environmental factors controlling differences in FCH4 across sites, we trained random forest (RF) models on daily mean FCH4 using common meteorological and biological drivers, and a subset of water quality parameters. Meteorological variables included daily mean TA, WTD, VPD, u*, and daily GPP was included as the biological predictor. As certain water quality parameters were highly correlated (Figure</w:t>
      </w:r>
      <w:r>
        <w:t xml:space="preserve"> </w:t>
      </w:r>
      <w:hyperlink w:anchor="fig-PCA">
        <w:r>
          <w:rPr>
            <w:rStyle w:val="Hyperlink"/>
          </w:rPr>
          <w:t xml:space="preserve">3</w:t>
        </w:r>
      </w:hyperlink>
      <w:r>
        <w:t xml:space="preserve">),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w:t>
      </w:r>
      <w:r>
        <w:t xml:space="preserve"> </w:t>
      </w:r>
      <m:oMath>
        <m:r>
          <m:t>N</m:t>
        </m:r>
        <m:sSubSup>
          <m:e>
            <m:r>
              <m:t>H</m:t>
            </m:r>
          </m:e>
          <m:sub>
            <m:r>
              <m:t>4</m:t>
            </m:r>
          </m:sub>
          <m:sup>
            <m:r>
              <m:rPr>
                <m:sty m:val="p"/>
              </m:rPr>
              <m:t>+</m:t>
            </m:r>
          </m:sup>
        </m:sSubSup>
      </m:oMath>
      <w:r>
        <w:t xml:space="preserve">,</w:t>
      </w:r>
      <w:r>
        <w:t xml:space="preserve"> </w:t>
      </w:r>
      <m:oMath>
        <m:r>
          <m:t>N</m:t>
        </m:r>
        <m:sSubSup>
          <m:e>
            <m:r>
              <m:t>O</m:t>
            </m:r>
          </m:e>
          <m:sub>
            <m:r>
              <m:t>3</m:t>
            </m:r>
          </m:sub>
          <m:sup>
            <m:r>
              <m:rPr>
                <m:sty m:val="p"/>
              </m:rPr>
              <m:t>−</m:t>
            </m:r>
          </m:sup>
        </m:sSubSup>
      </m:oMath>
      <w:r>
        <w:t xml:space="preserve"> </w:t>
      </w:r>
      <w:r>
        <w:t xml:space="preserve">(as (as</w:t>
      </w:r>
      <w:r>
        <w:t xml:space="preserve"> </w:t>
      </w:r>
      <m:oMath>
        <m:r>
          <m:t>N</m:t>
        </m:r>
        <m:sSubSup>
          <m:e>
            <m:r>
              <m:t>O</m:t>
            </m:r>
          </m:e>
          <m:sub>
            <m:r>
              <m:t>3</m:t>
            </m:r>
          </m:sub>
          <m:sup>
            <m:r>
              <m:rPr>
                <m:sty m:val="p"/>
              </m:rPr>
              <m:t>−</m:t>
            </m:r>
          </m:sup>
        </m:sSubSup>
      </m:oMath>
      <w:r>
        <w:t xml:space="preserve"> </w:t>
      </w:r>
      <w:r>
        <w:t xml:space="preserve">&amp;</w:t>
      </w:r>
      <w:r>
        <w:t xml:space="preserve"> </w:t>
      </w:r>
      <m:oMath>
        <m:r>
          <m:t>N</m:t>
        </m:r>
        <m:sSubSup>
          <m:e>
            <m:r>
              <m:t>O</m:t>
            </m:r>
          </m:e>
          <m:sub>
            <m:r>
              <m:t>2</m:t>
            </m:r>
          </m:sub>
          <m:sup>
            <m:r>
              <m:rPr>
                <m:sty m:val="p"/>
              </m:rPr>
              <m:t>−</m:t>
            </m:r>
          </m:sup>
        </m:sSubSup>
      </m:oMath>
      <w:r>
        <w:t xml:space="preserve">)), and pH were included in the RF analysis.</w:t>
      </w:r>
      <w:r>
        <w:t xml:space="preserve"> </w:t>
      </w:r>
      <w:r>
        <w:t xml:space="preserve">The RF algorithm is an ensemble method of regression tree.</w:t>
      </w:r>
    </w:p>
    <w:p>
      <w:pPr>
        <w:pStyle w:val="BodyText"/>
      </w:pPr>
      <w:r>
        <w:t xml:space="preserve">The RF algorithm creates bootstrapped data sets and then generates independent regression trees using randomly sampled variables at each split node. Then, RF aggregates the prediction results of the individual trees. For each tree, a random subset of the predictors (mtry) are selected at each split to minimize overfitting (Breiman 2001). We used an ensemble of 500 trees, and the mtry value was chosen using a threefold cross-validation repeated three times. Any missing values in the predictor data were imputed using medians [CHECK!]. Random forests were fit using the</w:t>
      </w:r>
      <w:r>
        <w:t xml:space="preserve"> </w:t>
      </w:r>
      <w:r>
        <w:t xml:space="preserve">‘</w:t>
      </w:r>
      <w:r>
        <w:t xml:space="preserve">caret</w:t>
      </w:r>
      <w:r>
        <w:t xml:space="preserve">’</w:t>
      </w:r>
      <w:r>
        <w:t xml:space="preserve"> </w:t>
      </w:r>
      <w:r>
        <w:t xml:space="preserve">(Kuhn 2017) and</w:t>
      </w:r>
      <w:r>
        <w:t xml:space="preserve"> </w:t>
      </w:r>
      <w:r>
        <w:t xml:space="preserve">‘</w:t>
      </w:r>
      <w:r>
        <w:t xml:space="preserve">randomForest</w:t>
      </w:r>
      <w:r>
        <w:t xml:space="preserve">’</w:t>
      </w:r>
      <w:r>
        <w:t xml:space="preserve"> </w:t>
      </w:r>
      <w:r>
        <w:t xml:space="preserve">(Liaw and Wiener 2002) packages.We then used the</w:t>
      </w:r>
      <w:r>
        <w:t xml:space="preserve"> </w:t>
      </w:r>
      <w:r>
        <w:t xml:space="preserve">‘</w:t>
      </w:r>
      <w:r>
        <w:t xml:space="preserve">varImp</w:t>
      </w:r>
      <w:r>
        <w:t xml:space="preserve">’</w:t>
      </w:r>
      <w:r>
        <w:t xml:space="preserve"> </w:t>
      </w:r>
      <w:r>
        <w:t xml:space="preserve">function to determine the top predictors of FCH4 across sites. The RF algorithm estimates variable importance by permuting a predictor variable and then assessing how much the prediction error increases. Finally, Partial Dependence Plots (PDP), generated using the</w:t>
      </w:r>
      <w:r>
        <w:t xml:space="preserve"> </w:t>
      </w:r>
      <w:r>
        <w:t xml:space="preserve">‘</w:t>
      </w:r>
      <w:r>
        <w:t xml:space="preserve">pdp</w:t>
      </w:r>
      <w:r>
        <w:t xml:space="preserve">’</w:t>
      </w:r>
      <w:r>
        <w:t xml:space="preserve"> </w:t>
      </w:r>
      <w:r>
        <w:t xml:space="preserve">package, were used to investigate the marginal contribution of different predictors on FCH4.</w:t>
      </w:r>
    </w:p>
    <w:p>
      <w:pPr>
        <w:pStyle w:val="BodyText"/>
      </w:pPr>
      <w:r>
        <w:t xml:space="preserve">Tigramite - https://jakobrunge.github.io/tigramite/</w:t>
      </w:r>
    </w:p>
    <w:bookmarkEnd w:id="27"/>
    <w:bookmarkEnd w:id="28"/>
    <w:bookmarkStart w:id="52" w:name="results"/>
    <w:p>
      <w:pPr>
        <w:pStyle w:val="Heading1"/>
      </w:pPr>
      <w:r>
        <w:t xml:space="preserve">3. Results</w:t>
      </w:r>
    </w:p>
    <w:bookmarkStart w:id="34" w:name="meteorology-and-hydrological-conditions"/>
    <w:p>
      <w:pPr>
        <w:pStyle w:val="Heading2"/>
      </w:pPr>
      <w:r>
        <w:t xml:space="preserve">3.1 Meteorology and hydrological conditions</w:t>
      </w:r>
    </w:p>
    <w:p>
      <w:pPr>
        <w:pStyle w:val="FirstParagraph"/>
      </w:pPr>
      <w:r>
        <w:t xml:space="preserve">Figure</w:t>
      </w:r>
      <w:r>
        <w:t xml:space="preserve"> </w:t>
      </w:r>
      <w:hyperlink w:anchor="fig-met_ts">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2" w:name="fig-met_ts"/>
          <w:p>
            <w:pPr>
              <w:pStyle w:val="Figure"/>
              <w:jc w:val="center"/>
            </w:pPr>
            <w:r>
              <w:drawing>
                <wp:inline>
                  <wp:extent cx="4331217" cy="4331217"/>
                  <wp:effectExtent b="0" l="0" r="0" t="0"/>
                  <wp:docPr descr="" title="" id="30" name="Picture"/>
                  <a:graphic>
                    <a:graphicData uri="http://schemas.openxmlformats.org/drawingml/2006/picture">
                      <pic:pic>
                        <pic:nvPicPr>
                          <pic:cNvPr descr="../figures/Met_ts.png" id="31" name="Picture"/>
                          <pic:cNvPicPr>
                            <a:picLocks noChangeArrowheads="1" noChangeAspect="1"/>
                          </pic:cNvPicPr>
                        </pic:nvPicPr>
                        <pic:blipFill>
                          <a:blip r:embed="rId29"/>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met_ts.</w:t>
            </w:r>
          </w:p>
          <w:bookmarkEnd w:id="32"/>
        </w:tc>
      </w:tr>
    </w:tbl>
    <w:p>
      <w:pPr>
        <w:pStyle w:val="BodyText"/>
      </w:pPr>
      <w:r>
        <w:t xml:space="preserve">Given the proximity of the sites, Hogg and Young experienced similar meteorological conditions; there were no significant differences in mean growing season daily average incoming photosynthetically active radiation (PPFD_IN), air temperature (TA), vapor pressure deficit (VPD), and precipitation (P) between sites. Though, water levels (WTD) at Young were significantly higher than at Hogg, and WTD was significantly higher in 2022 relative to 2021 (Table</w:t>
      </w:r>
      <w:r>
        <w:t xml:space="preserve"> </w:t>
      </w:r>
      <w:hyperlink w:anchor="tbl-MET">
        <w:r>
          <w:rPr>
            <w:rStyle w:val="Hyperlink"/>
          </w:rPr>
          <w:t xml:space="preserve">1</w:t>
        </w:r>
      </w:hyperlink>
      <w:r>
        <w:t xml:space="preserve">; Figure</w:t>
      </w:r>
      <w:r>
        <w:t xml:space="preserve"> </w:t>
      </w:r>
      <w:hyperlink w:anchor="fig-met_ts">
        <w:r>
          <w:rPr>
            <w:rStyle w:val="Hyperlink"/>
          </w:rPr>
          <w:t xml:space="preserve">1</w:t>
        </w:r>
      </w:hyperlink>
      <w:r>
        <w:t xml:space="preserve">). Mean growing season temperatures did not differ significantly between years (Table</w:t>
      </w:r>
      <w:r>
        <w:t xml:space="preserve"> </w:t>
      </w:r>
      <w:hyperlink w:anchor="tbl-MET">
        <w:r>
          <w:rPr>
            <w:rStyle w:val="Hyperlink"/>
          </w:rPr>
          <w:t xml:space="preserve">1</w:t>
        </w:r>
      </w:hyperlink>
      <w:r>
        <w:t xml:space="preserve">). However, the other meteorological variables did differ significantly between years, with higher daily precipitation and VPD observed in 2021 relative to 2022 (Table</w:t>
      </w:r>
      <w:r>
        <w:t xml:space="preserve"> </w:t>
      </w:r>
      <w:hyperlink w:anchor="tbl-MET">
        <w:r>
          <w:rPr>
            <w:rStyle w:val="Hyperlink"/>
          </w:rPr>
          <w:t xml:space="preserve">1</w:t>
        </w:r>
      </w:hyperlink>
      <w:r>
        <w:t xml:space="preserve">).</w:t>
      </w:r>
    </w:p>
    <w:bookmarkStart w:id="33" w:name="tbl-MET"/>
    <w:p>
      <w:pPr>
        <w:pStyle w:val="TableCaption"/>
      </w:pPr>
      <w:r>
        <w:t xml:space="preserve">Table 1: Growing season mean air temperature (TA) and vapour pressure deficit (VPD), photosynthentically active radiation (PPFD_IN), and water table dept (WTD), and cumulative precipitation at Hogg and Young during 2021 and 2022.</w:t>
      </w:r>
    </w:p>
    <w:tbl>
      <w:tblPr>
        <w:tblStyle w:val="Table"/>
        <w:tblW w:type="auto" w:w="0"/>
        <w:tblLook w:firstRow="1" w:lastRow="0" w:firstColumn="0" w:lastColumn="0" w:noHBand="0" w:noVBand="0" w:val="0020"/>
        <w:tblCaption w:val="Table 1: Growing season mean air temperature (TA) and vapour pressure deficit (VPD), photosynthentically active radiation (PPFD_IN), and water table dept (WTD), and cumulative precipitation at Hogg and Young during 2021 and 2022."/>
      </w:tblPr>
      <w:tblGrid>
        <w:gridCol w:w="1131"/>
        <w:gridCol w:w="1131"/>
        <w:gridCol w:w="1131"/>
        <w:gridCol w:w="1131"/>
        <w:gridCol w:w="1131"/>
        <w:gridCol w:w="1131"/>
        <w:gridCol w:w="1131"/>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TA</w:t>
            </w:r>
          </w:p>
        </w:tc>
        <w:tc>
          <w:tcPr/>
          <w:p>
            <w:pPr>
              <w:pStyle w:val="Compact"/>
              <w:jc w:val="right"/>
            </w:pPr>
            <w:r>
              <w:t xml:space="preserve">VPD</w:t>
            </w:r>
          </w:p>
        </w:tc>
        <w:tc>
          <w:tcPr/>
          <w:p>
            <w:pPr>
              <w:pStyle w:val="Compact"/>
              <w:jc w:val="right"/>
            </w:pPr>
            <w:r>
              <w:t xml:space="preserve">PPFD_IN</w:t>
            </w:r>
          </w:p>
        </w:tc>
        <w:tc>
          <w:tcPr/>
          <w:p>
            <w:pPr>
              <w:pStyle w:val="Compact"/>
              <w:jc w:val="right"/>
            </w:pPr>
            <w:r>
              <w:t xml:space="preserve">P</w:t>
            </w:r>
          </w:p>
        </w:tc>
        <w:tc>
          <w:tcPr/>
          <w:p>
            <w:pPr>
              <w:pStyle w:val="Compact"/>
              <w:jc w:val="right"/>
            </w:pPr>
            <w:r>
              <w:t xml:space="preserve">WTD</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16.5</w:t>
            </w:r>
          </w:p>
        </w:tc>
        <w:tc>
          <w:tcPr/>
          <w:p>
            <w:pPr>
              <w:pStyle w:val="Compact"/>
              <w:jc w:val="right"/>
            </w:pPr>
            <w:r>
              <w:t xml:space="preserve">8.3</w:t>
            </w:r>
          </w:p>
        </w:tc>
        <w:tc>
          <w:tcPr/>
          <w:p>
            <w:pPr>
              <w:pStyle w:val="Compact"/>
              <w:jc w:val="right"/>
            </w:pPr>
            <w:r>
              <w:t xml:space="preserve">418</w:t>
            </w:r>
          </w:p>
        </w:tc>
        <w:tc>
          <w:tcPr/>
          <w:p>
            <w:pPr>
              <w:pStyle w:val="Compact"/>
              <w:jc w:val="right"/>
            </w:pPr>
            <w:r>
              <w:t xml:space="preserve">267.2</w:t>
            </w:r>
          </w:p>
        </w:tc>
        <w:tc>
          <w:tcPr/>
          <w:p>
            <w:pPr>
              <w:pStyle w:val="Compact"/>
              <w:jc w:val="right"/>
            </w:pPr>
            <w:r>
              <w:t xml:space="preserve">230.5</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15.4</w:t>
            </w:r>
          </w:p>
        </w:tc>
        <w:tc>
          <w:tcPr/>
          <w:p>
            <w:pPr>
              <w:pStyle w:val="Compact"/>
              <w:jc w:val="right"/>
            </w:pPr>
            <w:r>
              <w:t xml:space="preserve">6.6</w:t>
            </w:r>
          </w:p>
        </w:tc>
        <w:tc>
          <w:tcPr/>
          <w:p>
            <w:pPr>
              <w:pStyle w:val="Compact"/>
              <w:jc w:val="right"/>
            </w:pPr>
            <w:r>
              <w:t xml:space="preserve">429</w:t>
            </w:r>
          </w:p>
        </w:tc>
        <w:tc>
          <w:tcPr/>
          <w:p>
            <w:pPr>
              <w:pStyle w:val="Compact"/>
              <w:jc w:val="right"/>
            </w:pPr>
            <w:r>
              <w:t xml:space="preserve">180.1</w:t>
            </w:r>
          </w:p>
        </w:tc>
        <w:tc>
          <w:tcPr/>
          <w:p>
            <w:pPr>
              <w:pStyle w:val="Compact"/>
              <w:jc w:val="right"/>
            </w:pPr>
            <w:r>
              <w:t xml:space="preserve">438.4</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16.4</w:t>
            </w:r>
          </w:p>
        </w:tc>
        <w:tc>
          <w:tcPr/>
          <w:p>
            <w:pPr>
              <w:pStyle w:val="Compact"/>
              <w:jc w:val="right"/>
            </w:pPr>
            <w:r>
              <w:t xml:space="preserve">8.0</w:t>
            </w:r>
          </w:p>
        </w:tc>
        <w:tc>
          <w:tcPr/>
          <w:p>
            <w:pPr>
              <w:pStyle w:val="Compact"/>
              <w:jc w:val="right"/>
            </w:pPr>
            <w:r>
              <w:t xml:space="preserve">415</w:t>
            </w:r>
          </w:p>
        </w:tc>
        <w:tc>
          <w:tcPr/>
          <w:p>
            <w:pPr>
              <w:pStyle w:val="Compact"/>
              <w:jc w:val="right"/>
            </w:pPr>
            <w:r>
              <w:t xml:space="preserve">281.0</w:t>
            </w:r>
          </w:p>
        </w:tc>
        <w:tc>
          <w:tcPr/>
          <w:p>
            <w:pPr>
              <w:pStyle w:val="Compact"/>
              <w:jc w:val="right"/>
            </w:pPr>
            <w:r>
              <w:t xml:space="preserve">462.3</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15.5</w:t>
            </w:r>
          </w:p>
        </w:tc>
        <w:tc>
          <w:tcPr/>
          <w:p>
            <w:pPr>
              <w:pStyle w:val="Compact"/>
              <w:jc w:val="right"/>
            </w:pPr>
            <w:r>
              <w:t xml:space="preserve">6.1</w:t>
            </w:r>
          </w:p>
        </w:tc>
        <w:tc>
          <w:tcPr/>
          <w:p>
            <w:pPr>
              <w:pStyle w:val="Compact"/>
              <w:jc w:val="right"/>
            </w:pPr>
            <w:r>
              <w:t xml:space="preserve">427</w:t>
            </w:r>
          </w:p>
        </w:tc>
        <w:tc>
          <w:tcPr/>
          <w:p>
            <w:pPr>
              <w:pStyle w:val="Compact"/>
              <w:jc w:val="right"/>
            </w:pPr>
            <w:r>
              <w:t xml:space="preserve">225.2</w:t>
            </w:r>
          </w:p>
        </w:tc>
        <w:tc>
          <w:tcPr/>
          <w:p>
            <w:pPr>
              <w:pStyle w:val="Compact"/>
              <w:jc w:val="right"/>
            </w:pPr>
            <w:r>
              <w:t xml:space="preserve">573.8</w:t>
            </w:r>
          </w:p>
        </w:tc>
      </w:tr>
    </w:tbl>
    <w:bookmarkEnd w:id="33"/>
    <w:bookmarkEnd w:id="34"/>
    <w:bookmarkStart w:id="44" w:name="water-quality-observations"/>
    <w:p>
      <w:pPr>
        <w:pStyle w:val="Heading2"/>
      </w:pPr>
      <w:r>
        <w:t xml:space="preserve">3.2 Water quality observations</w:t>
      </w:r>
    </w:p>
    <w:p>
      <w:pPr>
        <w:pStyle w:val="FirstParagraph"/>
      </w:pPr>
      <w:r>
        <w:t xml:space="preserve">Significant differences were observed in water quality parameters across sites (Table</w:t>
      </w:r>
      <w:r>
        <w:t xml:space="preserve"> </w:t>
      </w:r>
      <w:hyperlink w:anchor="tbl-WQ">
        <w:r>
          <w:rPr>
            <w:rStyle w:val="Hyperlink"/>
          </w:rPr>
          <w:t xml:space="preserve">2</w:t>
        </w:r>
      </w:hyperlink>
      <w:r>
        <w:t xml:space="preserve">, Figure</w:t>
      </w:r>
      <w:r>
        <w:t xml:space="preserve"> </w:t>
      </w:r>
      <w:hyperlink w:anchor="fig-PCA">
        <w:r>
          <w:rPr>
            <w:rStyle w:val="Hyperlink"/>
          </w:rPr>
          <w:t xml:space="preserve">3</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(Table</w:t>
      </w:r>
      <w:r>
        <w:t xml:space="preserve"> </w:t>
      </w:r>
      <w:hyperlink w:anchor="tbl-WQ">
        <w:r>
          <w:rPr>
            <w:rStyle w:val="Hyperlink"/>
          </w:rPr>
          <w:t xml:space="preserve">2</w:t>
        </w:r>
      </w:hyperlink>
      <w:r>
        <w:t xml:space="preserve">). Conversely, dissolved reactive phosphorus (DRP), total dissolved phosphorus (TDP) concentrations than Young, total phosphorus (TP) was significantly lower at Hogg than Young. No significant differences in pH, NO3 or NO2, or NH4 were observed between sites.</w:t>
      </w:r>
    </w:p>
    <w:bookmarkStart w:id="35" w:name="tbl-WQ"/>
    <w:p>
      <w:pPr>
        <w:pStyle w:val="TableCaption"/>
      </w:pPr>
      <w:r>
        <w:t xml:space="preserve">Table 2: Annual GHG budgets.</w:t>
      </w:r>
    </w:p>
    <w:tbl>
      <w:tblPr>
        <w:tblStyle w:val="Table"/>
        <w:tblW w:type="auto" w:w="0"/>
        <w:tblLook w:firstRow="1" w:lastRow="0" w:firstColumn="0" w:lastColumn="0" w:noHBand="0" w:noVBand="0" w:val="0020"/>
        <w:tblCaption w:val="Table 2: Annual GHG budget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2101</w:t>
            </w:r>
          </w:p>
        </w:tc>
        <w:tc>
          <w:tcPr/>
          <w:p>
            <w:pPr>
              <w:pStyle w:val="Compact"/>
              <w:jc w:val="right"/>
            </w:pPr>
            <w:r>
              <w:t xml:space="preserve">1522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6</w:t>
            </w:r>
          </w:p>
        </w:tc>
        <w:tc>
          <w:tcPr/>
          <w:p>
            <w:pPr>
              <w:pStyle w:val="Compact"/>
              <w:jc w:val="right"/>
            </w:pPr>
            <w:r>
              <w:t xml:space="preserve">63</w:t>
            </w:r>
          </w:p>
        </w:tc>
        <w:tc>
          <w:tcPr/>
          <w:p>
            <w:pPr>
              <w:pStyle w:val="Compact"/>
              <w:jc w:val="right"/>
            </w:pPr>
            <w:r>
              <w:t xml:space="preserve">155</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251</w:t>
            </w:r>
          </w:p>
        </w:tc>
        <w:tc>
          <w:tcPr/>
          <w:p>
            <w:pPr>
              <w:pStyle w:val="Compact"/>
              <w:jc w:val="right"/>
            </w:pPr>
            <w:r>
              <w:t xml:space="preserve">822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394</w:t>
            </w:r>
          </w:p>
        </w:tc>
        <w:tc>
          <w:tcPr/>
          <w:p>
            <w:pPr>
              <w:pStyle w:val="Compact"/>
              <w:jc w:val="right"/>
            </w:pPr>
            <w:r>
              <w:t xml:space="preserve">490</w:t>
            </w:r>
          </w:p>
        </w:tc>
        <w:tc>
          <w:tcPr/>
          <w:p>
            <w:pPr>
              <w:pStyle w:val="Compact"/>
              <w:jc w:val="right"/>
            </w:pPr>
            <w:r>
              <w:t xml:space="preserve">506</w:t>
            </w:r>
          </w:p>
        </w:tc>
        <w:tc>
          <w:tcPr/>
          <w:p>
            <w:pPr>
              <w:pStyle w:val="Compact"/>
              <w:jc w:val="right"/>
            </w:pPr>
            <w:r>
              <w:t xml:space="preserve">NaN</w:t>
            </w:r>
          </w:p>
        </w:tc>
      </w:tr>
    </w:tbl>
    <w:bookmarkEnd w:id="35"/>
    <w:p>
      <w:pPr>
        <w:pStyle w:val="BodyText"/>
      </w:pPr>
      <w:r>
        <w:t xml:space="preserve">Figure out best figure(s) to use. ALL WQ variables?</w:t>
      </w:r>
    </w:p>
    <w:tbl>
      <w:tblPr>
        <w:tblStyle w:val="Table"/>
        <w:tblW w:type="pct" w:w="5000"/>
        <w:tblLook w:firstRow="0" w:lastRow="0" w:firstColumn="0" w:lastColumn="0" w:noHBand="0" w:noVBand="0" w:val="0000"/>
      </w:tblPr>
      <w:tblGrid>
        <w:gridCol w:w="7920"/>
      </w:tblGrid>
      <w:tr>
        <w:tc>
          <w:tcPr/>
          <w:bookmarkStart w:id="39" w:name="fig-SO4"/>
          <w:p>
            <w:pPr>
              <w:pStyle w:val="Figure"/>
              <w:jc w:val="center"/>
            </w:pPr>
            <w:r>
              <w:drawing>
                <wp:inline>
                  <wp:extent cx="2164175" cy="1803001"/>
                  <wp:effectExtent b="0" l="0" r="0" t="0"/>
                  <wp:docPr descr="" title="" id="37" name="Picture"/>
                  <a:graphic>
                    <a:graphicData uri="http://schemas.openxmlformats.org/drawingml/2006/picture">
                      <pic:pic>
                        <pic:nvPicPr>
                          <pic:cNvPr descr="../figures/SO4_bp.png" id="38" name="Picture"/>
                          <pic:cNvPicPr>
                            <a:picLocks noChangeArrowheads="1" noChangeAspect="1"/>
                          </pic:cNvPicPr>
                        </pic:nvPicPr>
                        <pic:blipFill>
                          <a:blip r:embed="rId36"/>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SO4.</w:t>
            </w:r>
          </w:p>
          <w:bookmarkEnd w:id="39"/>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3" w:name="fig-PCA"/>
          <w:p>
            <w:pPr>
              <w:pStyle w:val="Figure"/>
              <w:jc w:val="center"/>
            </w:pPr>
            <w:r>
              <w:drawing>
                <wp:inline>
                  <wp:extent cx="2164175" cy="2886522"/>
                  <wp:effectExtent b="0" l="0" r="0" t="0"/>
                  <wp:docPr descr="" title="" id="41" name="Picture"/>
                  <a:graphic>
                    <a:graphicData uri="http://schemas.openxmlformats.org/drawingml/2006/picture">
                      <pic:pic>
                        <pic:nvPicPr>
                          <pic:cNvPr descr="../figures/PCA_WQ.png" id="42" name="Picture"/>
                          <pic:cNvPicPr>
                            <a:picLocks noChangeArrowheads="1" noChangeAspect="1"/>
                          </pic:cNvPicPr>
                        </pic:nvPicPr>
                        <pic:blipFill>
                          <a:blip r:embed="rId40"/>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PCA. CHANGE VAR NAMES</w:t>
            </w:r>
          </w:p>
          <w:bookmarkEnd w:id="43"/>
        </w:tc>
      </w:tr>
    </w:tbl>
    <w:bookmarkEnd w:id="44"/>
    <w:bookmarkStart w:id="50" w:name="ghg-fluxes"/>
    <w:p>
      <w:pPr>
        <w:pStyle w:val="Heading2"/>
      </w:pPr>
      <w:r>
        <w:t xml:space="preserve">3.3 GHG fluxes</w:t>
      </w:r>
    </w:p>
    <w:p>
      <w:pPr>
        <w:pStyle w:val="FirstParagraph"/>
      </w:pPr>
      <w:r>
        <w:t xml:space="preserve">Both wetland sites were net</w:t>
      </w:r>
      <w:r>
        <w:t xml:space="preserve"> </w:t>
      </w:r>
      <m:oMath>
        <m:r>
          <m:t>C</m:t>
        </m:r>
        <m:sSub>
          <m:e>
            <m:r>
              <m:t>O</m:t>
            </m:r>
          </m:e>
          <m:sub>
            <m:r>
              <m:t>2</m:t>
            </m:r>
          </m:sub>
        </m:sSub>
      </m:oMath>
      <w:r>
        <w:t xml:space="preserve"> </w:t>
      </w:r>
      <w:r>
        <w:t xml:space="preserve">sources over the course of the growing season, although net</w:t>
      </w:r>
      <w:r>
        <w:t xml:space="preserve"> </w:t>
      </w:r>
      <m:oMath>
        <m:r>
          <m:t>C</m:t>
        </m:r>
        <m:sSub>
          <m:e>
            <m:r>
              <m:t>O</m:t>
            </m:r>
          </m:e>
          <m:sub>
            <m:r>
              <m:t>2</m:t>
            </m:r>
          </m:sub>
        </m:sSub>
      </m:oMath>
      <w:r>
        <w:t xml:space="preserve"> </w:t>
      </w:r>
      <w:r>
        <w:t xml:space="preserve">update was lower at Young relative to Hogg due to lower GPP at Young (Figure</w:t>
      </w:r>
      <w:r>
        <w:t xml:space="preserve"> </w:t>
      </w:r>
      <w:hyperlink w:anchor="fig-fluxes">
        <w:r>
          <w:rPr>
            <w:rStyle w:val="Hyperlink"/>
          </w:rPr>
          <w:t xml:space="preserve">4</w:t>
        </w:r>
      </w:hyperlink>
      <w:r>
        <w:t xml:space="preserve">). Annually, this resulted in in Hogg being a net</w:t>
      </w:r>
      <w:r>
        <w:t xml:space="preserve"> </w:t>
      </w:r>
      <m:oMath>
        <m:r>
          <m:t>C</m:t>
        </m:r>
        <m:sSub>
          <m:e>
            <m:r>
              <m:t>O</m:t>
            </m:r>
          </m:e>
          <m:sub>
            <m:r>
              <m:t>2</m:t>
            </m:r>
          </m:sub>
        </m:sSub>
      </m:oMath>
      <w:r>
        <w:t xml:space="preserve"> </w:t>
      </w:r>
      <w:r>
        <w:t xml:space="preserve">sink in 2021-2022, taking up 34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while Young was a net</w:t>
      </w:r>
      <w:r>
        <w:t xml:space="preserve"> </w:t>
      </w:r>
      <m:oMath>
        <m:r>
          <m:t>C</m:t>
        </m:r>
        <m:sSub>
          <m:e>
            <m:r>
              <m:t>O</m:t>
            </m:r>
          </m:e>
          <m:sub>
            <m:r>
              <m:t>2</m:t>
            </m:r>
          </m:sub>
        </m:sSub>
      </m:oMath>
      <w:r>
        <w:t xml:space="preserve"> </w:t>
      </w:r>
      <w:r>
        <w:t xml:space="preserve">source of 57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Cumulative annual GPP at Hogg was 31% greater than Young, while differences in annual Reco were smaller between sites (~10%) (Table</w:t>
      </w:r>
      <w:r>
        <w:t xml:space="preserve"> </w:t>
      </w:r>
      <w:hyperlink w:anchor="tbl-fluxes">
        <w:r>
          <w:rPr>
            <w:rStyle w:val="Hyperlink"/>
          </w:rPr>
          <w:t xml:space="preserve">3</w:t>
        </w:r>
      </w:hyperlink>
      <w:r>
        <w:t xml:space="preserve">)</w:t>
      </w:r>
    </w:p>
    <w:p>
      <w:pPr>
        <w:pStyle w:val="BodyText"/>
      </w:pPr>
      <w:r>
        <w:t xml:space="preserve">Relative difference in</w:t>
      </w:r>
      <w:r>
        <w:t xml:space="preserve"> </w:t>
      </w:r>
      <m:oMath>
        <m:r>
          <m:t>C</m:t>
        </m:r>
        <m:sSub>
          <m:e>
            <m:r>
              <m:t>H</m:t>
            </m:r>
          </m:e>
          <m:sub>
            <m:r>
              <m:t>4</m:t>
            </m:r>
          </m:sub>
        </m:sSub>
      </m:oMath>
      <w:r>
        <w:t xml:space="preserve"> </w:t>
      </w:r>
      <w:r>
        <w:t xml:space="preserve">fluxes were even larger between sites (Figure</w:t>
      </w:r>
      <w:r>
        <w:t xml:space="preserve"> </w:t>
      </w:r>
      <w:hyperlink w:anchor="fig-fluxes">
        <w:r>
          <w:rPr>
            <w:rStyle w:val="Hyperlink"/>
          </w:rPr>
          <w:t xml:space="preserve">4</w:t>
        </w:r>
      </w:hyperlink>
      <w:r>
        <w:t xml:space="preserve">; Table</w:t>
      </w:r>
      <w:r>
        <w:t xml:space="preserve"> </w:t>
      </w:r>
      <w:hyperlink w:anchor="tbl-fluxes">
        <w:r>
          <w:rPr>
            <w:rStyle w:val="Hyperlink"/>
          </w:rPr>
          <w:t xml:space="preserve">3</w:t>
        </w:r>
      </w:hyperlink>
      <w:r>
        <w:t xml:space="preserve">). While Young showed a strong seasonal cycle in FCH4 over the course of the year, with daily emissions exceeding &gt;100 mgC</w:t>
      </w:r>
      <w:r>
        <w:t xml:space="preserve"> </w:t>
      </w:r>
      <m:oMath>
        <m:sSup>
          <m:e>
            <m:r>
              <m:t>m</m:t>
            </m:r>
          </m:e>
          <m:sup>
            <m:r>
              <m:rPr>
                <m:sty m:val="p"/>
              </m:rPr>
              <m:t>−</m:t>
            </m:r>
            <m:r>
              <m:t>2</m:t>
            </m:r>
          </m:sup>
        </m:sSup>
      </m:oMath>
      <w:r>
        <w:t xml:space="preserve"> </w:t>
      </w:r>
      <m:oMath>
        <m:sSup>
          <m:e>
            <m:r>
              <m:t>d</m:t>
            </m:r>
          </m:e>
          <m:sup>
            <m:r>
              <m:rPr>
                <m:sty m:val="p"/>
              </m:rPr>
              <m:t>−</m:t>
            </m:r>
            <m:r>
              <m:t>1</m:t>
            </m:r>
          </m:sup>
        </m:sSup>
      </m:oMath>
      <w:r>
        <w:t xml:space="preserve"> </w:t>
      </w:r>
      <w:r>
        <w:t xml:space="preserve">during the growing season, emissions at Hogg hovered near zero across the measurement period. As such, cumulative annual FCH4 at Young was &gt;6 time larger at Young relative to Hogg (7.6 versus 1.12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respectively) (Table</w:t>
      </w:r>
      <w:r>
        <w:t xml:space="preserve"> </w:t>
      </w:r>
      <w:hyperlink w:anchor="tbl-fluxes">
        <w:r>
          <w:rPr>
            <w:rStyle w:val="Hyperlink"/>
          </w:rPr>
          <w:t xml:space="preserve">3</w:t>
        </w:r>
      </w:hyperlink>
      <w:r>
        <w:t xml:space="preserve">).</w:t>
      </w:r>
    </w:p>
    <w:tbl>
      <w:tblPr>
        <w:tblStyle w:val="Table"/>
        <w:tblW w:type="pct" w:w="5000"/>
        <w:tblLook w:firstRow="0" w:lastRow="0" w:firstColumn="0" w:lastColumn="0" w:noHBand="0" w:noVBand="0" w:val="0000"/>
      </w:tblPr>
      <w:tblGrid>
        <w:gridCol w:w="7920"/>
      </w:tblGrid>
      <w:tr>
        <w:tc>
          <w:tcPr/>
          <w:bookmarkStart w:id="48" w:name="fig-fluxes"/>
          <w:p>
            <w:pPr>
              <w:pStyle w:val="Figure"/>
              <w:jc w:val="center"/>
            </w:pPr>
            <w:r>
              <w:drawing>
                <wp:inline>
                  <wp:extent cx="4331217" cy="4331217"/>
                  <wp:effectExtent b="0" l="0" r="0" t="0"/>
                  <wp:docPr descr="" title="" id="46" name="Picture"/>
                  <a:graphic>
                    <a:graphicData uri="http://schemas.openxmlformats.org/drawingml/2006/picture">
                      <pic:pic>
                        <pic:nvPicPr>
                          <pic:cNvPr descr="../figures/flux_ts.png" id="47" name="Picture"/>
                          <pic:cNvPicPr>
                            <a:picLocks noChangeArrowheads="1" noChangeAspect="1"/>
                          </pic:cNvPicPr>
                        </pic:nvPicPr>
                        <pic:blipFill>
                          <a:blip r:embed="rId45"/>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Fluxes.</w:t>
            </w:r>
          </w:p>
          <w:bookmarkEnd w:id="48"/>
        </w:tc>
      </w:tr>
    </w:tbl>
    <w:p>
      <w:pPr>
        <w:pStyle w:val="BodyText"/>
      </w:pPr>
      <w:r>
        <w:t xml:space="preserve">(Table</w:t>
      </w:r>
      <w:r>
        <w:t xml:space="preserve"> </w:t>
      </w:r>
      <w:hyperlink w:anchor="tbl-fluxes">
        <w:r>
          <w:rPr>
            <w:rStyle w:val="Hyperlink"/>
          </w:rPr>
          <w:t xml:space="preserve">3</w:t>
        </w:r>
      </w:hyperlink>
      <w:r>
        <w:t xml:space="preserve">)</w:t>
      </w:r>
    </w:p>
    <w:bookmarkStart w:id="49" w:name="tbl-fluxes"/>
    <w:p>
      <w:pPr>
        <w:pStyle w:val="TableCaption"/>
      </w:pPr>
      <w:r>
        <w:t xml:space="preserve">Table 3: Differences in fluxes across sites.</w:t>
      </w:r>
    </w:p>
    <w:tbl>
      <w:tblPr>
        <w:tblStyle w:val="Table"/>
        <w:tblW w:type="auto" w:w="0"/>
        <w:tblLook w:firstRow="1" w:lastRow="0" w:firstColumn="0" w:lastColumn="0" w:noHBand="0" w:noVBand="0" w:val="0020"/>
        <w:tblCaption w:val="Table 3: Differences in fluxes across sites."/>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NEE</w:t>
            </w:r>
          </w:p>
        </w:tc>
        <w:tc>
          <w:tcPr/>
          <w:p>
            <w:pPr>
              <w:pStyle w:val="Compact"/>
              <w:jc w:val="left"/>
            </w:pPr>
            <w:r>
              <w:t xml:space="preserve">FCH4</w:t>
            </w:r>
          </w:p>
        </w:tc>
        <w:tc>
          <w:tcPr/>
          <w:p>
            <w:pPr>
              <w:pStyle w:val="Compact"/>
              <w:jc w:val="left"/>
            </w:pPr>
            <w:r>
              <w:t xml:space="preserve">GPP_DT</w:t>
            </w:r>
          </w:p>
        </w:tc>
        <w:tc>
          <w:tcPr/>
          <w:p>
            <w:pPr>
              <w:pStyle w:val="Compact"/>
              <w:jc w:val="left"/>
            </w:pPr>
            <w:r>
              <w:t xml:space="preserve">GPP_NT</w:t>
            </w:r>
          </w:p>
        </w:tc>
        <w:tc>
          <w:tcPr/>
          <w:p>
            <w:pPr>
              <w:pStyle w:val="Compact"/>
              <w:jc w:val="left"/>
            </w:pPr>
            <w:r>
              <w:t xml:space="preserve">Reco_DT</w:t>
            </w:r>
          </w:p>
        </w:tc>
        <w:tc>
          <w:tcPr/>
          <w:p>
            <w:pPr>
              <w:pStyle w:val="Compact"/>
              <w:jc w:val="left"/>
            </w:pPr>
            <w:r>
              <w:t xml:space="preserve">Reco_NT</w:t>
            </w:r>
          </w:p>
        </w:tc>
        <w:tc>
          <w:tcPr/>
          <w:p>
            <w:pPr>
              <w:pStyle w:val="Compact"/>
              <w:jc w:val="left"/>
            </w:pPr>
            <w:r>
              <w:t xml:space="preserve">GHG</w:t>
            </w:r>
          </w:p>
        </w:tc>
      </w:tr>
      <w:tr>
        <w:tc>
          <w:tcPr/>
          <w:p>
            <w:pPr>
              <w:pStyle w:val="Compact"/>
              <w:jc w:val="left"/>
            </w:pPr>
            <w:r>
              <w:t xml:space="preserve">Hogg</w:t>
            </w:r>
          </w:p>
        </w:tc>
        <w:tc>
          <w:tcPr/>
          <w:p>
            <w:pPr>
              <w:pStyle w:val="Compact"/>
              <w:jc w:val="left"/>
            </w:pPr>
            <w:r>
              <w:t xml:space="preserve">-35 ± 20</w:t>
            </w:r>
          </w:p>
        </w:tc>
        <w:tc>
          <w:tcPr/>
          <w:p>
            <w:pPr>
              <w:pStyle w:val="Compact"/>
              <w:jc w:val="left"/>
            </w:pPr>
            <w:r>
              <w:t xml:space="preserve">1.9 ± TBD</w:t>
            </w:r>
          </w:p>
        </w:tc>
        <w:tc>
          <w:tcPr/>
          <w:p>
            <w:pPr>
              <w:pStyle w:val="Compact"/>
              <w:jc w:val="left"/>
            </w:pPr>
            <w:r>
              <w:t xml:space="preserve">838 ± 4</w:t>
            </w:r>
          </w:p>
        </w:tc>
        <w:tc>
          <w:tcPr/>
          <w:p>
            <w:pPr>
              <w:pStyle w:val="Compact"/>
              <w:jc w:val="left"/>
            </w:pPr>
            <w:r>
              <w:t xml:space="preserve">869 ± TBD</w:t>
            </w:r>
          </w:p>
        </w:tc>
        <w:tc>
          <w:tcPr/>
          <w:p>
            <w:pPr>
              <w:pStyle w:val="Compact"/>
              <w:jc w:val="left"/>
            </w:pPr>
            <w:r>
              <w:t xml:space="preserve">677 ± 835</w:t>
            </w:r>
          </w:p>
        </w:tc>
        <w:tc>
          <w:tcPr/>
          <w:p>
            <w:pPr>
              <w:pStyle w:val="Compact"/>
              <w:jc w:val="left"/>
            </w:pPr>
            <w:r>
              <w:t xml:space="preserve">834 ± TBD</w:t>
            </w:r>
          </w:p>
        </w:tc>
        <w:tc>
          <w:tcPr/>
          <w:p>
            <w:pPr>
              <w:pStyle w:val="Compact"/>
              <w:jc w:val="left"/>
            </w:pPr>
            <w:r>
              <w:t xml:space="preserve">-4 ± TBD</w:t>
            </w:r>
          </w:p>
        </w:tc>
      </w:tr>
      <w:tr>
        <w:tc>
          <w:tcPr/>
          <w:p>
            <w:pPr>
              <w:pStyle w:val="Compact"/>
              <w:jc w:val="left"/>
            </w:pPr>
            <w:r>
              <w:t xml:space="preserve">Young</w:t>
            </w:r>
          </w:p>
        </w:tc>
        <w:tc>
          <w:tcPr/>
          <w:p>
            <w:pPr>
              <w:pStyle w:val="Compact"/>
              <w:jc w:val="left"/>
            </w:pPr>
            <w:r>
              <w:t xml:space="preserve">49 ± 21</w:t>
            </w:r>
          </w:p>
        </w:tc>
        <w:tc>
          <w:tcPr/>
          <w:p>
            <w:pPr>
              <w:pStyle w:val="Compact"/>
              <w:jc w:val="left"/>
            </w:pPr>
            <w:r>
              <w:t xml:space="preserve">6.8 ± TBD</w:t>
            </w:r>
          </w:p>
        </w:tc>
        <w:tc>
          <w:tcPr/>
          <w:p>
            <w:pPr>
              <w:pStyle w:val="Compact"/>
              <w:jc w:val="left"/>
            </w:pPr>
            <w:r>
              <w:t xml:space="preserve">641 ± 18</w:t>
            </w:r>
          </w:p>
        </w:tc>
        <w:tc>
          <w:tcPr/>
          <w:p>
            <w:pPr>
              <w:pStyle w:val="Compact"/>
              <w:jc w:val="left"/>
            </w:pPr>
            <w:r>
              <w:t xml:space="preserve">658 ± TBD</w:t>
            </w:r>
          </w:p>
        </w:tc>
        <w:tc>
          <w:tcPr/>
          <w:p>
            <w:pPr>
              <w:pStyle w:val="Compact"/>
              <w:jc w:val="left"/>
            </w:pPr>
            <w:r>
              <w:t xml:space="preserve">621 ± 707</w:t>
            </w:r>
          </w:p>
        </w:tc>
        <w:tc>
          <w:tcPr/>
          <w:p>
            <w:pPr>
              <w:pStyle w:val="Compact"/>
              <w:jc w:val="left"/>
            </w:pPr>
            <w:r>
              <w:t xml:space="preserve">707 ± TBD</w:t>
            </w:r>
          </w:p>
        </w:tc>
        <w:tc>
          <w:tcPr/>
          <w:p>
            <w:pPr>
              <w:pStyle w:val="Compact"/>
              <w:jc w:val="left"/>
            </w:pPr>
            <w:r>
              <w:t xml:space="preserve">616 ± TBD</w:t>
            </w:r>
          </w:p>
        </w:tc>
      </w:tr>
    </w:tbl>
    <w:bookmarkEnd w:id="49"/>
    <w:bookmarkEnd w:id="50"/>
    <w:bookmarkStart w:id="51" w:name="driver-of-fch4"/>
    <w:p>
      <w:pPr>
        <w:pStyle w:val="Heading2"/>
      </w:pPr>
      <w:r>
        <w:t xml:space="preserve">3.4 Driver of FCH4</w:t>
      </w:r>
    </w:p>
    <w:bookmarkEnd w:id="51"/>
    <w:bookmarkEnd w:id="52"/>
    <w:bookmarkStart w:id="53"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p>
      <w:pPr>
        <w:pStyle w:val="BodyText"/>
      </w:pPr>
      <w:r>
        <w:t xml:space="preserve">Read about P &amp; pH on FCH4</w:t>
      </w:r>
    </w:p>
    <w:bookmarkEnd w:id="53"/>
    <w:bookmarkStart w:id="57" w:name="references"/>
    <w:p>
      <w:pPr>
        <w:pStyle w:val="Heading1"/>
      </w:pPr>
      <w:r>
        <w:t xml:space="preserve">References</w:t>
      </w:r>
    </w:p>
    <w:bookmarkStart w:id="56" w:name="refs"/>
    <w:bookmarkStart w:id="55"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54">
        <w:r>
          <w:rPr>
            <w:rStyle w:val="Hyperlink"/>
          </w:rPr>
          <w:t xml:space="preserve">https://doi.org/10.1007/s11273-011-9214-6</w:t>
        </w:r>
      </w:hyperlink>
      <w:r>
        <w:t xml:space="preserve">, 2011.</w:t>
      </w:r>
    </w:p>
    <w:bookmarkEnd w:id="55"/>
    <w:bookmarkEnd w:id="56"/>
    <w:p>
      <w:r>
        <w:br w:type="page"/>
      </w:r>
    </w:p>
    <w:bookmarkEnd w:id="57"/>
    <w:bookmarkStart w:id="58" w:name="tables"/>
    <w:p>
      <w:pPr>
        <w:pStyle w:val="Heading1"/>
      </w:pPr>
      <w:r>
        <w:t xml:space="preserve">Tables</w:t>
      </w:r>
    </w:p>
    <w:p>
      <w:r>
        <w:br w:type="page"/>
      </w:r>
    </w:p>
    <w:bookmarkEnd w:id="58"/>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hyperlink" Id="rId54"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2023-06-05T21:46:25Z</dcterms:created>
  <dcterms:modified xsi:type="dcterms:W3CDTF">2023-06-05T21:46:25Z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6/5/23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