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40.png" ContentType="image/png"/>
  <Override PartName="/word/media/rId36.png" ContentType="image/png"/>
  <Override PartName="/word/media/rId5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2023-07-03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sampling-and-analysis"/>
    <w:p>
      <w:pPr>
        <w:pStyle w:val="Heading3"/>
      </w:pPr>
      <w:r>
        <w:t xml:space="preserve">2.4.1 Water sampling and analysis</w:t>
      </w:r>
    </w:p>
    <w:p>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pPr>
        <w:pStyle w:val="BodyText"/>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pPr>
        <w:pStyle w:val="BodyText"/>
      </w:pPr>
      <w:r>
        <w:t xml:space="preserve">Multivariate associations of water quality parameters across sites were analyzed using principal component analysis (PCA). All variables were centered and scaled, and PCA was done using the</w:t>
      </w:r>
      <w:r>
        <w:t xml:space="preserve"> </w:t>
      </w:r>
      <w:r>
        <w:t xml:space="preserve">‘</w:t>
      </w:r>
      <w:r>
        <w:t xml:space="preserve">prcomp</w:t>
      </w:r>
      <w:r>
        <w:t xml:space="preserve">’</w:t>
      </w:r>
      <w:r>
        <w:t xml:space="preserve"> </w:t>
      </w:r>
      <w:r>
        <w:t xml:space="preserve">function in base R.</w:t>
      </w:r>
    </w:p>
    <w:p>
      <w:pPr>
        <w:pStyle w:val="BodyText"/>
      </w:pPr>
      <w:r>
        <w:t xml:space="preserve">To investigate the environmental factors controlling differences in FCH4 across sites, we trained random forest (RF) models on daily mean FCH4 using common meteorological and biological drivers, and a subset of water quality parameters. Meteorological variables included daily mean TA, WTD, VPD, u*, and daily GPP was included as the biological predictor. As certain water quality parameters were highly correlated (Figure</w:t>
      </w:r>
      <w:r>
        <w:t xml:space="preserve"> </w:t>
      </w:r>
      <w:hyperlink w:anchor="fig-PCA">
        <w:r>
          <w:rPr>
            <w:rStyle w:val="Hyperlink"/>
          </w:rPr>
          <w:t xml:space="preserve">3</w:t>
        </w:r>
      </w:hyperlink>
      <w:r>
        <w:t xml:space="preserve">),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w:t>
      </w:r>
      <w:r>
        <w:t xml:space="preserve"> </w:t>
      </w:r>
      <m:oMath>
        <m:r>
          <m:t>N</m:t>
        </m:r>
        <m:sSubSup>
          <m:e>
            <m:r>
              <m:t>H</m:t>
            </m:r>
          </m:e>
          <m:sub>
            <m:r>
              <m:t>4</m:t>
            </m:r>
          </m:sub>
          <m:sup>
            <m:r>
              <m:rPr>
                <m:sty m:val="p"/>
              </m:rPr>
              <m:t>+</m:t>
            </m:r>
          </m:sup>
        </m:sSubSup>
      </m:oMath>
      <w:r>
        <w:t xml:space="preserve">,</w:t>
      </w:r>
      <w:r>
        <w:t xml:space="preserve"> </w:t>
      </w:r>
      <m:oMath>
        <m:r>
          <m:t>N</m:t>
        </m:r>
        <m:sSubSup>
          <m:e>
            <m:r>
              <m:t>O</m:t>
            </m:r>
          </m:e>
          <m:sub>
            <m:r>
              <m:t>3</m:t>
            </m:r>
          </m:sub>
          <m:sup>
            <m:r>
              <m:rPr>
                <m:sty m:val="p"/>
              </m:rPr>
              <m:t>−</m:t>
            </m:r>
          </m:sup>
        </m:sSubSup>
      </m:oMath>
      <w:r>
        <w:t xml:space="preserve"> </w:t>
      </w:r>
      <w:r>
        <w:t xml:space="preserve">(as (as</w:t>
      </w:r>
      <w:r>
        <w:t xml:space="preserve"> </w:t>
      </w:r>
      <m:oMath>
        <m:r>
          <m:t>N</m:t>
        </m:r>
        <m:sSubSup>
          <m:e>
            <m:r>
              <m:t>O</m:t>
            </m:r>
          </m:e>
          <m:sub>
            <m:r>
              <m:t>3</m:t>
            </m:r>
          </m:sub>
          <m:sup>
            <m:r>
              <m:rPr>
                <m:sty m:val="p"/>
              </m:rPr>
              <m:t>−</m:t>
            </m:r>
          </m:sup>
        </m:sSubSup>
      </m:oMath>
      <w:r>
        <w:t xml:space="preserve"> </w:t>
      </w:r>
      <w:r>
        <w:t xml:space="preserve">&amp;</w:t>
      </w:r>
      <w:r>
        <w:t xml:space="preserve"> </w:t>
      </w:r>
      <m:oMath>
        <m:r>
          <m:t>N</m:t>
        </m:r>
        <m:sSubSup>
          <m:e>
            <m:r>
              <m:t>O</m:t>
            </m:r>
          </m:e>
          <m:sub>
            <m:r>
              <m:t>2</m:t>
            </m:r>
          </m:sub>
          <m:sup>
            <m:r>
              <m:rPr>
                <m:sty m:val="p"/>
              </m:rPr>
              <m:t>−</m:t>
            </m:r>
          </m:sup>
        </m:sSubSup>
      </m:oMath>
      <w:r>
        <w:t xml:space="preserve">)), and pH were included in the RF analysis.</w:t>
      </w:r>
    </w:p>
    <w:p>
      <w:pPr>
        <w:pStyle w:val="BodyText"/>
      </w:pPr>
      <w:r>
        <w:t xml:space="preserve">The RF algorithm creates bootstrapped data sets and then generates independent regression trees using randomly sampled variables at each split node. Then, RF aggregates the prediction results of the individual trees. Random forests were fit using the</w:t>
      </w:r>
      <w:r>
        <w:t xml:space="preserve"> </w:t>
      </w:r>
      <w:r>
        <w:t xml:space="preserve">‘</w:t>
      </w:r>
      <w:r>
        <w:t xml:space="preserve">caret</w:t>
      </w:r>
      <w:r>
        <w:t xml:space="preserve">’</w:t>
      </w:r>
      <w:r>
        <w:t xml:space="preserve"> </w:t>
      </w:r>
      <w:r>
        <w:t xml:space="preserve">(Kuhn 2017) and</w:t>
      </w:r>
      <w:r>
        <w:t xml:space="preserve"> </w:t>
      </w:r>
      <w:r>
        <w:t xml:space="preserve">‘</w:t>
      </w:r>
      <w:r>
        <w:t xml:space="preserve">ranger</w:t>
      </w:r>
      <w:r>
        <w:t xml:space="preserve">’</w:t>
      </w:r>
      <w:r>
        <w:t xml:space="preserve"> </w:t>
      </w:r>
      <w:r>
        <w:t xml:space="preserve">(R (Wright &amp; Ziegler, 2017; R Core Team, 2019) packages. Similar to Knox et al. (2021), each RF was trained on all available data from both sites (i.e., the dataset was not split into training and test data), and out-of-bag data were used for hyperparameter tuning. The inclusion of all available data is justified as our goal was to assess dominant predictors of FCH4 across sites rather than develop a predictive model that can be applied to new conditions, and 2) RF is already robust to outliers (Zhang &amp; Lu, 2012). We used an ensemble of 500 trees, and hyperparameter tuning was performed for mtry (the number of predictors randomly sampled at each devision node) and min.node.size. Predictors were ranked using permutation importance, which avoids bias from other approaches (Strobl et al., 2007), and importance values were scaled for comparison between sites (Knox et al., 2021). Additionally, Partial Dependence Plots (PDP), generated using the</w:t>
      </w:r>
      <w:r>
        <w:t xml:space="preserve"> </w:t>
      </w:r>
      <w:r>
        <w:t xml:space="preserve">‘</w:t>
      </w:r>
      <w:r>
        <w:t xml:space="preserve">pdp</w:t>
      </w:r>
      <w:r>
        <w:t xml:space="preserve">’</w:t>
      </w:r>
      <w:r>
        <w:t xml:space="preserve"> </w:t>
      </w:r>
      <w:r>
        <w:t xml:space="preserve">package, were used to investigate the marginal contribution of different predictors on FCH4.</w:t>
      </w:r>
    </w:p>
    <w:bookmarkEnd w:id="27"/>
    <w:bookmarkEnd w:id="28"/>
    <w:bookmarkStart w:id="57" w:name="results"/>
    <w:p>
      <w:pPr>
        <w:pStyle w:val="Heading1"/>
      </w:pPr>
      <w:r>
        <w:t xml:space="preserve">3. Results</w:t>
      </w:r>
    </w:p>
    <w:bookmarkStart w:id="34" w:name="meteorology-and-hydrological-conditions"/>
    <w:p>
      <w:pPr>
        <w:pStyle w:val="Heading2"/>
      </w:pPr>
      <w:r>
        <w:t xml:space="preserve">3.1 Meteorology and hydrological conditions</w:t>
      </w:r>
    </w:p>
    <w:p>
      <w:pPr>
        <w:pStyle w:val="FirstParagraph"/>
      </w:pPr>
      <w:r>
        <w:t xml:space="preserve">Figure</w:t>
      </w:r>
      <w:r>
        <w:t xml:space="preserve"> </w:t>
      </w:r>
      <w:hyperlink w:anchor="fig-met_ts">
        <w:r>
          <w:rPr>
            <w:rStyle w:val="Hyperlink"/>
          </w:rPr>
          <w:t xml:space="preserve">1</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met_ts"/>
          <w:p>
            <w:pPr>
              <w:jc w:val="center"/>
            </w:pPr>
            <w:r>
              <w:drawing>
                <wp:inline>
                  <wp:extent cx="4331217" cy="4331217"/>
                  <wp:effectExtent b="0" l="0" r="0" t="0"/>
                  <wp:docPr descr="" title="" id="30" name="Picture"/>
                  <a:graphic>
                    <a:graphicData uri="http://schemas.openxmlformats.org/drawingml/2006/picture">
                      <pic:pic>
                        <pic:nvPicPr>
                          <pic:cNvPr descr="../figures/Met_ts.png" id="31" name="Picture"/>
                          <pic:cNvPicPr>
                            <a:picLocks noChangeArrowheads="1" noChangeAspect="1"/>
                          </pic:cNvPicPr>
                        </pic:nvPicPr>
                        <pic:blipFill>
                          <a:blip r:embed="rId29"/>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met_ts.</w:t>
            </w:r>
          </w:p>
          <w:bookmarkEnd w:id="32"/>
        </w:tc>
      </w:tr>
    </w:tbl>
    <w:p>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w:t>
      </w:r>
      <w:r>
        <w:t xml:space="preserve"> </w:t>
      </w:r>
      <w:hyperlink w:anchor="tbl-MET">
        <w:r>
          <w:rPr>
            <w:rStyle w:val="Hyperlink"/>
          </w:rPr>
          <w:t xml:space="preserve">1</w:t>
        </w:r>
      </w:hyperlink>
      <w:r>
        <w:t xml:space="preserve">; Figure</w:t>
      </w:r>
      <w:r>
        <w:t xml:space="preserve"> </w:t>
      </w:r>
      <w:hyperlink w:anchor="fig-met_ts">
        <w:r>
          <w:rPr>
            <w:rStyle w:val="Hyperlink"/>
          </w:rPr>
          <w:t xml:space="preserve">1</w:t>
        </w:r>
      </w:hyperlink>
      <w:r>
        <w:t xml:space="preserve">). Mean growing season temperatures did not differ significantly between years (Table</w:t>
      </w:r>
      <w:r>
        <w:t xml:space="preserve"> </w:t>
      </w:r>
      <w:hyperlink w:anchor="tbl-MET">
        <w:r>
          <w:rPr>
            <w:rStyle w:val="Hyperlink"/>
          </w:rPr>
          <w:t xml:space="preserve">1</w:t>
        </w:r>
      </w:hyperlink>
      <w:r>
        <w:t xml:space="preserve">). However, the other meteorological variables did differ significantly between years, with higher daily precipitation and VPD observed in 2021 relative to 2022 (Table</w:t>
      </w:r>
      <w:r>
        <w:t xml:space="preserve"> </w:t>
      </w:r>
      <w:hyperlink w:anchor="tbl-MET">
        <w:r>
          <w:rPr>
            <w:rStyle w:val="Hyperlink"/>
          </w:rPr>
          <w:t xml:space="preserve">1</w:t>
        </w:r>
      </w:hyperlink>
      <w:r>
        <w:t xml:space="preserve">).</w:t>
      </w:r>
    </w:p>
    <w:bookmarkStart w:id="33" w:name="tbl-MET"/>
    <w:p>
      <w:pPr>
        <w:pStyle w:val="TableCaption"/>
      </w:pPr>
      <w:r>
        <w:t xml:space="preserve">Table 1: Growing season mean air temperature (TA) and vapour pressure deficit (VPD), photosynthentically active radiation (PPFD_IN), and water table dept (WTD), and cumulative precipitation at Hogg and Young during 2021 and 2022.</w:t>
      </w:r>
    </w:p>
    <w:tbl>
      <w:tblPr>
        <w:tblStyle w:val="Table"/>
        <w:tblW w:type="auto" w:w="0"/>
        <w:tblLook w:firstRow="1" w:lastRow="0" w:firstColumn="0" w:lastColumn="0" w:noHBand="0" w:noVBand="0" w:val="0020"/>
        <w:jc w:val="start"/>
        <w:tblCaption w:val="Table 1: Growing season mean air temperature (TA) and vapour pressure deficit (VPD), photosynthentically active radiation (PPFD_IN), and water table dept (WTD), and cumulative precipitation at Hogg and Young during 2021 and 2022."/>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16.5</w:t>
            </w:r>
          </w:p>
        </w:tc>
        <w:tc>
          <w:tcPr/>
          <w:p>
            <w:pPr>
              <w:pStyle w:val="Compact"/>
              <w:jc w:val="right"/>
            </w:pPr>
            <w:r>
              <w:t xml:space="preserve">8.3</w:t>
            </w:r>
          </w:p>
        </w:tc>
        <w:tc>
          <w:tcPr/>
          <w:p>
            <w:pPr>
              <w:pStyle w:val="Compact"/>
              <w:jc w:val="right"/>
            </w:pPr>
            <w:r>
              <w:t xml:space="preserve">418</w:t>
            </w:r>
          </w:p>
        </w:tc>
        <w:tc>
          <w:tcPr/>
          <w:p>
            <w:pPr>
              <w:pStyle w:val="Compact"/>
              <w:jc w:val="right"/>
            </w:pPr>
            <w:r>
              <w:t xml:space="preserve">267.2</w:t>
            </w:r>
          </w:p>
        </w:tc>
        <w:tc>
          <w:tcPr/>
          <w:p>
            <w:pPr>
              <w:pStyle w:val="Compact"/>
              <w:jc w:val="right"/>
            </w:pPr>
            <w:r>
              <w:t xml:space="preserve">230.5</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15.4</w:t>
            </w:r>
          </w:p>
        </w:tc>
        <w:tc>
          <w:tcPr/>
          <w:p>
            <w:pPr>
              <w:pStyle w:val="Compact"/>
              <w:jc w:val="right"/>
            </w:pPr>
            <w:r>
              <w:t xml:space="preserve">6.6</w:t>
            </w:r>
          </w:p>
        </w:tc>
        <w:tc>
          <w:tcPr/>
          <w:p>
            <w:pPr>
              <w:pStyle w:val="Compact"/>
              <w:jc w:val="right"/>
            </w:pPr>
            <w:r>
              <w:t xml:space="preserve">429</w:t>
            </w:r>
          </w:p>
        </w:tc>
        <w:tc>
          <w:tcPr/>
          <w:p>
            <w:pPr>
              <w:pStyle w:val="Compact"/>
              <w:jc w:val="right"/>
            </w:pPr>
            <w:r>
              <w:t xml:space="preserve">180.1</w:t>
            </w:r>
          </w:p>
        </w:tc>
        <w:tc>
          <w:tcPr/>
          <w:p>
            <w:pPr>
              <w:pStyle w:val="Compact"/>
              <w:jc w:val="right"/>
            </w:pPr>
            <w:r>
              <w:t xml:space="preserve">438.4</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16.4</w:t>
            </w:r>
          </w:p>
        </w:tc>
        <w:tc>
          <w:tcPr/>
          <w:p>
            <w:pPr>
              <w:pStyle w:val="Compact"/>
              <w:jc w:val="right"/>
            </w:pPr>
            <w:r>
              <w:t xml:space="preserve">8.0</w:t>
            </w:r>
          </w:p>
        </w:tc>
        <w:tc>
          <w:tcPr/>
          <w:p>
            <w:pPr>
              <w:pStyle w:val="Compact"/>
              <w:jc w:val="right"/>
            </w:pPr>
            <w:r>
              <w:t xml:space="preserve">415</w:t>
            </w:r>
          </w:p>
        </w:tc>
        <w:tc>
          <w:tcPr/>
          <w:p>
            <w:pPr>
              <w:pStyle w:val="Compact"/>
              <w:jc w:val="right"/>
            </w:pPr>
            <w:r>
              <w:t xml:space="preserve">281.0</w:t>
            </w:r>
          </w:p>
        </w:tc>
        <w:tc>
          <w:tcPr/>
          <w:p>
            <w:pPr>
              <w:pStyle w:val="Compact"/>
              <w:jc w:val="right"/>
            </w:pPr>
            <w:r>
              <w:t xml:space="preserve">462.3</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15.5</w:t>
            </w:r>
          </w:p>
        </w:tc>
        <w:tc>
          <w:tcPr/>
          <w:p>
            <w:pPr>
              <w:pStyle w:val="Compact"/>
              <w:jc w:val="right"/>
            </w:pPr>
            <w:r>
              <w:t xml:space="preserve">6.1</w:t>
            </w:r>
          </w:p>
        </w:tc>
        <w:tc>
          <w:tcPr/>
          <w:p>
            <w:pPr>
              <w:pStyle w:val="Compact"/>
              <w:jc w:val="right"/>
            </w:pPr>
            <w:r>
              <w:t xml:space="preserve">427</w:t>
            </w:r>
          </w:p>
        </w:tc>
        <w:tc>
          <w:tcPr/>
          <w:p>
            <w:pPr>
              <w:pStyle w:val="Compact"/>
              <w:jc w:val="right"/>
            </w:pPr>
            <w:r>
              <w:t xml:space="preserve">225.2</w:t>
            </w:r>
          </w:p>
        </w:tc>
        <w:tc>
          <w:tcPr/>
          <w:p>
            <w:pPr>
              <w:pStyle w:val="Compact"/>
              <w:jc w:val="right"/>
            </w:pPr>
            <w:r>
              <w:t xml:space="preserve">573.8</w:t>
            </w:r>
          </w:p>
        </w:tc>
      </w:tr>
    </w:tbl>
    <w:bookmarkEnd w:id="33"/>
    <w:bookmarkEnd w:id="34"/>
    <w:bookmarkStart w:id="44" w:name="water-quality-observations"/>
    <w:p>
      <w:pPr>
        <w:pStyle w:val="Heading2"/>
      </w:pPr>
      <w:r>
        <w:t xml:space="preserve">3.2 Water quality observations</w:t>
      </w:r>
    </w:p>
    <w:p>
      <w:pPr>
        <w:pStyle w:val="FirstParagraph"/>
      </w:pPr>
      <w:r>
        <w:t xml:space="preserve">Significant differences were observed in water quality parameters across sites (Table</w:t>
      </w:r>
      <w:r>
        <w:t xml:space="preserve"> </w:t>
      </w:r>
      <w:hyperlink w:anchor="tbl-WQ">
        <w:r>
          <w:rPr>
            <w:rStyle w:val="Hyperlink"/>
          </w:rPr>
          <w:t xml:space="preserve">2</w:t>
        </w:r>
      </w:hyperlink>
      <w:r>
        <w:t xml:space="preserve">, Figure</w:t>
      </w:r>
      <w:r>
        <w:t xml:space="preserve"> </w:t>
      </w:r>
      <w:hyperlink w:anchor="fig-PCA">
        <w:r>
          <w:rPr>
            <w:rStyle w:val="Hyperlink"/>
          </w:rPr>
          <w:t xml:space="preserve">3</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(Table</w:t>
      </w:r>
      <w:r>
        <w:t xml:space="preserve"> </w:t>
      </w:r>
      <w:hyperlink w:anchor="tbl-WQ">
        <w:r>
          <w:rPr>
            <w:rStyle w:val="Hyperlink"/>
          </w:rPr>
          <w:t xml:space="preserve">2</w:t>
        </w:r>
      </w:hyperlink>
      <w:r>
        <w:t xml:space="preserve">). Conversely, dissolved reactive phosphorus (DRP), total dissolved phosphorus (TDP) concentrations than Young, total phosphorus (TP) was significantly lower at Hogg than Young. No significant differences in pH, NO3 or NO2, or NH4 were observed between sites.</w:t>
      </w:r>
    </w:p>
    <w:bookmarkStart w:id="35" w:name="tbl-WQ"/>
    <w:p>
      <w:pPr>
        <w:pStyle w:val="TableCaption"/>
      </w:pPr>
      <w:r>
        <w:t xml:space="preserve">Table 2: Annual GHG budgets.</w:t>
      </w:r>
    </w:p>
    <w:tbl>
      <w:tblPr>
        <w:tblStyle w:val="Table"/>
        <w:tblW w:type="auto" w:w="0"/>
        <w:tblLook w:firstRow="1" w:lastRow="0" w:firstColumn="0" w:lastColumn="0" w:noHBand="0" w:noVBand="0" w:val="0020"/>
        <w:jc w:val="start"/>
        <w:tblCaption w:val="Table 2: Annual GHG budget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2101</w:t>
            </w:r>
          </w:p>
        </w:tc>
        <w:tc>
          <w:tcPr/>
          <w:p>
            <w:pPr>
              <w:pStyle w:val="Compact"/>
              <w:jc w:val="right"/>
            </w:pPr>
            <w:r>
              <w:t xml:space="preserve">1522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6</w:t>
            </w:r>
          </w:p>
        </w:tc>
        <w:tc>
          <w:tcPr/>
          <w:p>
            <w:pPr>
              <w:pStyle w:val="Compact"/>
              <w:jc w:val="right"/>
            </w:pPr>
            <w:r>
              <w:t xml:space="preserve">63</w:t>
            </w:r>
          </w:p>
        </w:tc>
        <w:tc>
          <w:tcPr/>
          <w:p>
            <w:pPr>
              <w:pStyle w:val="Compact"/>
              <w:jc w:val="right"/>
            </w:pPr>
            <w:r>
              <w:t xml:space="preserve">155</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251</w:t>
            </w:r>
          </w:p>
        </w:tc>
        <w:tc>
          <w:tcPr/>
          <w:p>
            <w:pPr>
              <w:pStyle w:val="Compact"/>
              <w:jc w:val="right"/>
            </w:pPr>
            <w:r>
              <w:t xml:space="preserve">822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394</w:t>
            </w:r>
          </w:p>
        </w:tc>
        <w:tc>
          <w:tcPr/>
          <w:p>
            <w:pPr>
              <w:pStyle w:val="Compact"/>
              <w:jc w:val="right"/>
            </w:pPr>
            <w:r>
              <w:t xml:space="preserve">490</w:t>
            </w:r>
          </w:p>
        </w:tc>
        <w:tc>
          <w:tcPr/>
          <w:p>
            <w:pPr>
              <w:pStyle w:val="Compact"/>
              <w:jc w:val="right"/>
            </w:pPr>
            <w:r>
              <w:t xml:space="preserve">506</w:t>
            </w:r>
          </w:p>
        </w:tc>
        <w:tc>
          <w:tcPr/>
          <w:p>
            <w:pPr>
              <w:pStyle w:val="Compact"/>
              <w:jc w:val="right"/>
            </w:pPr>
            <w:r>
              <w:t xml:space="preserve">NaN</w:t>
            </w:r>
          </w:p>
        </w:tc>
      </w:tr>
    </w:tbl>
    <w:bookmarkEnd w:id="35"/>
    <w:p>
      <w:pPr>
        <w:pStyle w:val="BodyText"/>
      </w:pPr>
      <w:r>
        <w:t xml:space="preserve">Figure out best figure(s) to use. ALL WQ variables?</w:t>
      </w:r>
    </w:p>
    <w:tbl>
      <w:tblPr>
        <w:tblStyle w:val="Table"/>
        <w:tblW w:type="pct" w:w="5000"/>
        <w:tblLook w:firstRow="0" w:lastRow="0" w:firstColumn="0" w:lastColumn="0" w:noHBand="0" w:noVBand="0" w:val="0000"/>
        <w:jc w:val="start"/>
      </w:tblPr>
      <w:tblGrid>
        <w:gridCol w:w="7920"/>
      </w:tblGrid>
      <w:tr>
        <w:tc>
          <w:tcPr/>
          <w:bookmarkStart w:id="39" w:name="fig-SO4"/>
          <w:p>
            <w:pPr>
              <w:jc w:val="center"/>
            </w:pPr>
            <w:r>
              <w:drawing>
                <wp:inline>
                  <wp:extent cx="2164175" cy="1803001"/>
                  <wp:effectExtent b="0" l="0" r="0" t="0"/>
                  <wp:docPr descr="" title="" id="37" name="Picture"/>
                  <a:graphic>
                    <a:graphicData uri="http://schemas.openxmlformats.org/drawingml/2006/picture">
                      <pic:pic>
                        <pic:nvPicPr>
                          <pic:cNvPr descr="../figures/SO4_bp.png" id="38" name="Picture"/>
                          <pic:cNvPicPr>
                            <a:picLocks noChangeArrowheads="1" noChangeAspect="1"/>
                          </pic:cNvPicPr>
                        </pic:nvPicPr>
                        <pic:blipFill>
                          <a:blip r:embed="rId36"/>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SO4.</w:t>
            </w:r>
          </w:p>
          <w:bookmarkEnd w:id="3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3" w:name="fig-PCA"/>
          <w:p>
            <w:pPr>
              <w:jc w:val="center"/>
            </w:pPr>
            <w:r>
              <w:drawing>
                <wp:inline>
                  <wp:extent cx="2164175" cy="2886522"/>
                  <wp:effectExtent b="0" l="0" r="0" t="0"/>
                  <wp:docPr descr="" title="" id="41" name="Picture"/>
                  <a:graphic>
                    <a:graphicData uri="http://schemas.openxmlformats.org/drawingml/2006/picture">
                      <pic:pic>
                        <pic:nvPicPr>
                          <pic:cNvPr descr="../figures/PCA_WQ.png" id="42" name="Picture"/>
                          <pic:cNvPicPr>
                            <a:picLocks noChangeArrowheads="1" noChangeAspect="1"/>
                          </pic:cNvPicPr>
                        </pic:nvPicPr>
                        <pic:blipFill>
                          <a:blip r:embed="rId40"/>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PCA. CHANGE VAR NAMES</w:t>
            </w:r>
          </w:p>
          <w:bookmarkEnd w:id="43"/>
        </w:tc>
      </w:tr>
    </w:tbl>
    <w:bookmarkEnd w:id="44"/>
    <w:bookmarkStart w:id="50" w:name="ghg-fluxes"/>
    <w:p>
      <w:pPr>
        <w:pStyle w:val="Heading2"/>
      </w:pPr>
      <w:r>
        <w:t xml:space="preserve">3.3 GHG fluxes</w:t>
      </w:r>
    </w:p>
    <w:p>
      <w:pPr>
        <w:pStyle w:val="FirstParagraph"/>
      </w:pPr>
      <w:r>
        <w:t xml:space="preserve">Both wetland sites were net</w:t>
      </w:r>
      <w:r>
        <w:t xml:space="preserve"> </w:t>
      </w:r>
      <m:oMath>
        <m:r>
          <m:t>C</m:t>
        </m:r>
        <m:sSub>
          <m:e>
            <m:r>
              <m:t>O</m:t>
            </m:r>
          </m:e>
          <m:sub>
            <m:r>
              <m:t>2</m:t>
            </m:r>
          </m:sub>
        </m:sSub>
      </m:oMath>
      <w:r>
        <w:t xml:space="preserve"> </w:t>
      </w:r>
      <w:r>
        <w:t xml:space="preserve">sources over the course of the growing season, although net</w:t>
      </w:r>
      <w:r>
        <w:t xml:space="preserve"> </w:t>
      </w:r>
      <m:oMath>
        <m:r>
          <m:t>C</m:t>
        </m:r>
        <m:sSub>
          <m:e>
            <m:r>
              <m:t>O</m:t>
            </m:r>
          </m:e>
          <m:sub>
            <m:r>
              <m:t>2</m:t>
            </m:r>
          </m:sub>
        </m:sSub>
      </m:oMath>
      <w:r>
        <w:t xml:space="preserve"> </w:t>
      </w:r>
      <w:r>
        <w:t xml:space="preserve">update was lower at Young relative to Hogg due to lower GPP at Young (Figure</w:t>
      </w:r>
      <w:r>
        <w:t xml:space="preserve"> </w:t>
      </w:r>
      <w:hyperlink w:anchor="fig-fluxes">
        <w:r>
          <w:rPr>
            <w:rStyle w:val="Hyperlink"/>
          </w:rPr>
          <w:t xml:space="preserve">4</w:t>
        </w:r>
      </w:hyperlink>
      <w:r>
        <w:t xml:space="preserve">). Annually, this resulted in in Hogg being a net</w:t>
      </w:r>
      <w:r>
        <w:t xml:space="preserve"> </w:t>
      </w:r>
      <m:oMath>
        <m:r>
          <m:t>C</m:t>
        </m:r>
        <m:sSub>
          <m:e>
            <m:r>
              <m:t>O</m:t>
            </m:r>
          </m:e>
          <m:sub>
            <m:r>
              <m:t>2</m:t>
            </m:r>
          </m:sub>
        </m:sSub>
      </m:oMath>
      <w:r>
        <w:t xml:space="preserve"> </w:t>
      </w:r>
      <w:r>
        <w:t xml:space="preserve">sink in 2021-2022, taking up 34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while Young was a net</w:t>
      </w:r>
      <w:r>
        <w:t xml:space="preserve"> </w:t>
      </w:r>
      <m:oMath>
        <m:r>
          <m:t>C</m:t>
        </m:r>
        <m:sSub>
          <m:e>
            <m:r>
              <m:t>O</m:t>
            </m:r>
          </m:e>
          <m:sub>
            <m:r>
              <m:t>2</m:t>
            </m:r>
          </m:sub>
        </m:sSub>
      </m:oMath>
      <w:r>
        <w:t xml:space="preserve"> </w:t>
      </w:r>
      <w:r>
        <w:t xml:space="preserve">source of 57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Cumulative annual GPP at Hogg was 31% greater than Young, while differences in annual Reco were smaller between sites (~10%) (Table</w:t>
      </w:r>
      <w:r>
        <w:t xml:space="preserve"> </w:t>
      </w:r>
      <w:hyperlink w:anchor="tbl-fluxes">
        <w:r>
          <w:rPr>
            <w:rStyle w:val="Hyperlink"/>
          </w:rPr>
          <w:t xml:space="preserve">3</w:t>
        </w:r>
      </w:hyperlink>
      <w:r>
        <w:t xml:space="preserve">).</w:t>
      </w:r>
    </w:p>
    <w:p>
      <w:pPr>
        <w:pStyle w:val="BodyText"/>
      </w:pPr>
      <w:r>
        <w:t xml:space="preserve">Relative difference in</w:t>
      </w:r>
      <w:r>
        <w:t xml:space="preserve"> </w:t>
      </w:r>
      <m:oMath>
        <m:r>
          <m:t>C</m:t>
        </m:r>
        <m:sSub>
          <m:e>
            <m:r>
              <m:t>H</m:t>
            </m:r>
          </m:e>
          <m:sub>
            <m:r>
              <m:t>4</m:t>
            </m:r>
          </m:sub>
        </m:sSub>
      </m:oMath>
      <w:r>
        <w:t xml:space="preserve"> </w:t>
      </w:r>
      <w:r>
        <w:t xml:space="preserve">fluxes were even larger between sites (Figure</w:t>
      </w:r>
      <w:r>
        <w:t xml:space="preserve"> </w:t>
      </w:r>
      <w:hyperlink w:anchor="fig-fluxes">
        <w:r>
          <w:rPr>
            <w:rStyle w:val="Hyperlink"/>
          </w:rPr>
          <w:t xml:space="preserve">4</w:t>
        </w:r>
      </w:hyperlink>
      <w:r>
        <w:t xml:space="preserve">; Table</w:t>
      </w:r>
      <w:r>
        <w:t xml:space="preserve"> </w:t>
      </w:r>
      <w:hyperlink w:anchor="tbl-fluxes">
        <w:r>
          <w:rPr>
            <w:rStyle w:val="Hyperlink"/>
          </w:rPr>
          <w:t xml:space="preserve">3</w:t>
        </w:r>
      </w:hyperlink>
      <w:r>
        <w:t xml:space="preserve">). While Young showed a strong seasonal cycle in FCH4 over the course of the year, with daily emissions exceeding &gt;100 mgC</w:t>
      </w:r>
      <w:r>
        <w:t xml:space="preserve"> </w:t>
      </w:r>
      <m:oMath>
        <m:sSup>
          <m:e>
            <m:r>
              <m:t>m</m:t>
            </m:r>
          </m:e>
          <m:sup>
            <m:r>
              <m:rPr>
                <m:sty m:val="p"/>
              </m:rPr>
              <m:t>−</m:t>
            </m:r>
            <m:r>
              <m:t>2</m:t>
            </m:r>
          </m:sup>
        </m:sSup>
      </m:oMath>
      <w:r>
        <w:t xml:space="preserve"> </w:t>
      </w:r>
      <m:oMath>
        <m:sSup>
          <m:e>
            <m:r>
              <m:t>d</m:t>
            </m:r>
          </m:e>
          <m:sup>
            <m:r>
              <m:rPr>
                <m:sty m:val="p"/>
              </m:rPr>
              <m:t>−</m:t>
            </m:r>
            <m:r>
              <m:t>1</m:t>
            </m:r>
          </m:sup>
        </m:sSup>
      </m:oMath>
      <w:r>
        <w:t xml:space="preserve"> </w:t>
      </w:r>
      <w:r>
        <w:t xml:space="preserve">during the growing season, emissions at Hogg hovered near zero across the measurement period. As such, cumulative annual FCH4 at Young was &gt;6 time larger at Young relative to Hogg (7.6 versus 1.12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respectively) (Table</w:t>
      </w:r>
      <w:r>
        <w:t xml:space="preserve"> </w:t>
      </w:r>
      <w:hyperlink w:anchor="tbl-fluxes">
        <w:r>
          <w:rPr>
            <w:rStyle w:val="Hyperlink"/>
          </w:rPr>
          <w:t xml:space="preserve">3</w:t>
        </w:r>
      </w:hyperlink>
      <w:r>
        <w:t xml:space="preserve">).</w:t>
      </w:r>
    </w:p>
    <w:tbl>
      <w:tblPr>
        <w:tblStyle w:val="Table"/>
        <w:tblW w:type="pct" w:w="5000"/>
        <w:tblLook w:firstRow="0" w:lastRow="0" w:firstColumn="0" w:lastColumn="0" w:noHBand="0" w:noVBand="0" w:val="0000"/>
        <w:jc w:val="start"/>
      </w:tblPr>
      <w:tblGrid>
        <w:gridCol w:w="7920"/>
      </w:tblGrid>
      <w:tr>
        <w:tc>
          <w:tcPr/>
          <w:bookmarkStart w:id="48" w:name="fig-fluxes"/>
          <w:p>
            <w:pPr>
              <w:jc w:val="center"/>
            </w:pPr>
            <w:r>
              <w:drawing>
                <wp:inline>
                  <wp:extent cx="4331217" cy="4331217"/>
                  <wp:effectExtent b="0" l="0" r="0" t="0"/>
                  <wp:docPr descr="" title="" id="46" name="Picture"/>
                  <a:graphic>
                    <a:graphicData uri="http://schemas.openxmlformats.org/drawingml/2006/picture">
                      <pic:pic>
                        <pic:nvPicPr>
                          <pic:cNvPr descr="../figures/flux_ts.png" id="47" name="Picture"/>
                          <pic:cNvPicPr>
                            <a:picLocks noChangeArrowheads="1" noChangeAspect="1"/>
                          </pic:cNvPicPr>
                        </pic:nvPicPr>
                        <pic:blipFill>
                          <a:blip r:embed="rId45"/>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Fluxes.</w:t>
            </w:r>
          </w:p>
          <w:bookmarkEnd w:id="48"/>
        </w:tc>
      </w:tr>
    </w:tbl>
    <w:p>
      <w:pPr>
        <w:pStyle w:val="BodyText"/>
      </w:pPr>
      <w:r>
        <w:t xml:space="preserve">(Table</w:t>
      </w:r>
      <w:r>
        <w:t xml:space="preserve"> </w:t>
      </w:r>
      <w:hyperlink w:anchor="tbl-fluxes">
        <w:r>
          <w:rPr>
            <w:rStyle w:val="Hyperlink"/>
          </w:rPr>
          <w:t xml:space="preserve">3</w:t>
        </w:r>
      </w:hyperlink>
      <w:r>
        <w:t xml:space="preserve">)</w:t>
      </w:r>
    </w:p>
    <w:bookmarkStart w:id="49" w:name="tbl-fluxes"/>
    <w:p>
      <w:pPr>
        <w:pStyle w:val="TableCaption"/>
      </w:pPr>
      <w:r>
        <w:t xml:space="preserve">Table 3: Differences in fluxes across sites.</w:t>
      </w:r>
    </w:p>
    <w:tbl>
      <w:tblPr>
        <w:tblStyle w:val="Table"/>
        <w:tblW w:type="auto" w:w="0"/>
        <w:tblLook w:firstRow="1" w:lastRow="0" w:firstColumn="0" w:lastColumn="0" w:noHBand="0" w:noVBand="0" w:val="0020"/>
        <w:jc w:val="start"/>
        <w:tblCaption w:val="Table 3: Differences in fluxes across sit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NEE</w:t>
            </w:r>
          </w:p>
        </w:tc>
        <w:tc>
          <w:tcPr/>
          <w:p>
            <w:pPr>
              <w:pStyle w:val="Compact"/>
              <w:jc w:val="left"/>
            </w:pPr>
            <w:r>
              <w:t xml:space="preserve">FCH4</w:t>
            </w:r>
          </w:p>
        </w:tc>
        <w:tc>
          <w:tcPr/>
          <w:p>
            <w:pPr>
              <w:pStyle w:val="Compact"/>
              <w:jc w:val="left"/>
            </w:pPr>
            <w:r>
              <w:t xml:space="preserve">GPP_DT</w:t>
            </w:r>
          </w:p>
        </w:tc>
        <w:tc>
          <w:tcPr/>
          <w:p>
            <w:pPr>
              <w:pStyle w:val="Compact"/>
              <w:jc w:val="left"/>
            </w:pPr>
            <w:r>
              <w:t xml:space="preserve">GPP_NT</w:t>
            </w:r>
          </w:p>
        </w:tc>
        <w:tc>
          <w:tcPr/>
          <w:p>
            <w:pPr>
              <w:pStyle w:val="Compact"/>
              <w:jc w:val="left"/>
            </w:pPr>
            <w:r>
              <w:t xml:space="preserve">Reco_DT</w:t>
            </w:r>
          </w:p>
        </w:tc>
        <w:tc>
          <w:tcPr/>
          <w:p>
            <w:pPr>
              <w:pStyle w:val="Compact"/>
              <w:jc w:val="left"/>
            </w:pPr>
            <w:r>
              <w:t xml:space="preserve">Reco_NT</w:t>
            </w:r>
          </w:p>
        </w:tc>
        <w:tc>
          <w:tcPr/>
          <w:p>
            <w:pPr>
              <w:pStyle w:val="Compact"/>
              <w:jc w:val="left"/>
            </w:pPr>
            <w:r>
              <w:t xml:space="preserve">GHG</w:t>
            </w:r>
          </w:p>
        </w:tc>
      </w:tr>
      <w:tr>
        <w:tc>
          <w:tcPr/>
          <w:p>
            <w:pPr>
              <w:pStyle w:val="Compact"/>
              <w:jc w:val="left"/>
            </w:pPr>
            <w:r>
              <w:t xml:space="preserve">Hogg</w:t>
            </w:r>
          </w:p>
        </w:tc>
        <w:tc>
          <w:tcPr/>
          <w:p>
            <w:pPr>
              <w:pStyle w:val="Compact"/>
              <w:jc w:val="left"/>
            </w:pPr>
            <w:r>
              <w:t xml:space="preserve">-35 ± 20</w:t>
            </w:r>
          </w:p>
        </w:tc>
        <w:tc>
          <w:tcPr/>
          <w:p>
            <w:pPr>
              <w:pStyle w:val="Compact"/>
              <w:jc w:val="left"/>
            </w:pPr>
            <w:r>
              <w:t xml:space="preserve">1.9 ± TBD</w:t>
            </w:r>
          </w:p>
        </w:tc>
        <w:tc>
          <w:tcPr/>
          <w:p>
            <w:pPr>
              <w:pStyle w:val="Compact"/>
              <w:jc w:val="left"/>
            </w:pPr>
            <w:r>
              <w:t xml:space="preserve">838 ± 4</w:t>
            </w:r>
          </w:p>
        </w:tc>
        <w:tc>
          <w:tcPr/>
          <w:p>
            <w:pPr>
              <w:pStyle w:val="Compact"/>
              <w:jc w:val="left"/>
            </w:pPr>
            <w:r>
              <w:t xml:space="preserve">869 ± TBD</w:t>
            </w:r>
          </w:p>
        </w:tc>
        <w:tc>
          <w:tcPr/>
          <w:p>
            <w:pPr>
              <w:pStyle w:val="Compact"/>
              <w:jc w:val="left"/>
            </w:pPr>
            <w:r>
              <w:t xml:space="preserve">677 ± 835</w:t>
            </w:r>
          </w:p>
        </w:tc>
        <w:tc>
          <w:tcPr/>
          <w:p>
            <w:pPr>
              <w:pStyle w:val="Compact"/>
              <w:jc w:val="left"/>
            </w:pPr>
            <w:r>
              <w:t xml:space="preserve">834 ± TBD</w:t>
            </w:r>
          </w:p>
        </w:tc>
        <w:tc>
          <w:tcPr/>
          <w:p>
            <w:pPr>
              <w:pStyle w:val="Compact"/>
              <w:jc w:val="left"/>
            </w:pPr>
            <w:r>
              <w:t xml:space="preserve">-4 ± TBD</w:t>
            </w:r>
          </w:p>
        </w:tc>
      </w:tr>
      <w:tr>
        <w:tc>
          <w:tcPr/>
          <w:p>
            <w:pPr>
              <w:pStyle w:val="Compact"/>
              <w:jc w:val="left"/>
            </w:pPr>
            <w:r>
              <w:t xml:space="preserve">Young</w:t>
            </w:r>
          </w:p>
        </w:tc>
        <w:tc>
          <w:tcPr/>
          <w:p>
            <w:pPr>
              <w:pStyle w:val="Compact"/>
              <w:jc w:val="left"/>
            </w:pPr>
            <w:r>
              <w:t xml:space="preserve">49 ± 21</w:t>
            </w:r>
          </w:p>
        </w:tc>
        <w:tc>
          <w:tcPr/>
          <w:p>
            <w:pPr>
              <w:pStyle w:val="Compact"/>
              <w:jc w:val="left"/>
            </w:pPr>
            <w:r>
              <w:t xml:space="preserve">6.8 ± TBD</w:t>
            </w:r>
          </w:p>
        </w:tc>
        <w:tc>
          <w:tcPr/>
          <w:p>
            <w:pPr>
              <w:pStyle w:val="Compact"/>
              <w:jc w:val="left"/>
            </w:pPr>
            <w:r>
              <w:t xml:space="preserve">641 ± 18</w:t>
            </w:r>
          </w:p>
        </w:tc>
        <w:tc>
          <w:tcPr/>
          <w:p>
            <w:pPr>
              <w:pStyle w:val="Compact"/>
              <w:jc w:val="left"/>
            </w:pPr>
            <w:r>
              <w:t xml:space="preserve">658 ± TBD</w:t>
            </w:r>
          </w:p>
        </w:tc>
        <w:tc>
          <w:tcPr/>
          <w:p>
            <w:pPr>
              <w:pStyle w:val="Compact"/>
              <w:jc w:val="left"/>
            </w:pPr>
            <w:r>
              <w:t xml:space="preserve">621 ± 707</w:t>
            </w:r>
          </w:p>
        </w:tc>
        <w:tc>
          <w:tcPr/>
          <w:p>
            <w:pPr>
              <w:pStyle w:val="Compact"/>
              <w:jc w:val="left"/>
            </w:pPr>
            <w:r>
              <w:t xml:space="preserve">707 ± TBD</w:t>
            </w:r>
          </w:p>
        </w:tc>
        <w:tc>
          <w:tcPr/>
          <w:p>
            <w:pPr>
              <w:pStyle w:val="Compact"/>
              <w:jc w:val="left"/>
            </w:pPr>
            <w:r>
              <w:t xml:space="preserve">616 ± TBD</w:t>
            </w:r>
          </w:p>
        </w:tc>
      </w:tr>
    </w:tbl>
    <w:bookmarkEnd w:id="49"/>
    <w:bookmarkEnd w:id="50"/>
    <w:bookmarkStart w:id="56" w:name="driver-of-fch4"/>
    <w:p>
      <w:pPr>
        <w:pStyle w:val="Heading2"/>
      </w:pPr>
      <w:r>
        <w:t xml:space="preserve">3.4 Driver of FCH4</w:t>
      </w:r>
    </w:p>
    <w:bookmarkStart w:id="55" w:name="between-sites"/>
    <w:p>
      <w:pPr>
        <w:pStyle w:val="Heading3"/>
      </w:pPr>
      <w:r>
        <w:t xml:space="preserve">3.4.1 Between sites</w:t>
      </w:r>
    </w:p>
    <w:p>
      <w:pPr>
        <w:pStyle w:val="FirstParagraph"/>
      </w:pPr>
      <w:r>
        <w:t xml:space="preserve">Across sites, the RF model explained 83% of observed variance (</w:t>
      </w:r>
      <m:oMath>
        <m:sSup>
          <m:e>
            <m:r>
              <m:t>r</m:t>
            </m:r>
          </m:e>
          <m:sup>
            <m:r>
              <m:t>2</m:t>
            </m:r>
          </m:sup>
        </m:sSup>
      </m:oMath>
      <w:r>
        <w:t xml:space="preserve">) when evaluated against out-of-bag data. Based on the variable importance rankings,</w:t>
      </w:r>
      <w:r>
        <w:t xml:space="preserve"> </w:t>
      </w:r>
      <m:oMath>
        <m:r>
          <m:t>S</m:t>
        </m:r>
        <m:sSubSup>
          <m:e>
            <m:r>
              <m:t>O</m:t>
            </m:r>
          </m:e>
          <m:sub>
            <m:r>
              <m:t>4</m:t>
            </m:r>
          </m:sub>
          <m:sup>
            <m:r>
              <m:t>2</m:t>
            </m:r>
            <m:r>
              <m:rPr>
                <m:sty m:val="p"/>
              </m:rPr>
              <m:t>−</m:t>
            </m:r>
          </m:sup>
        </m:sSubSup>
      </m:oMath>
      <w:r>
        <w:t xml:space="preserve"> </w:t>
      </w:r>
      <w:r>
        <w:t xml:space="preserve">concentration was the dominant predictor of FCH4 (Figure</w:t>
      </w:r>
      <w:r>
        <w:t xml:space="preserve"> </w:t>
      </w:r>
      <w:hyperlink w:anchor="fig-VarImp">
        <w:r>
          <w:rPr>
            <w:rStyle w:val="Hyperlink"/>
          </w:rPr>
          <w:t xml:space="preserve">5</w:t>
        </w:r>
      </w:hyperlink>
      <w:r>
        <w:t xml:space="preserve">a), indicating that the significant difference in</w:t>
      </w:r>
      <w:r>
        <w:t xml:space="preserve"> </w:t>
      </w:r>
      <m:oMath>
        <m:r>
          <m:t>S</m:t>
        </m:r>
        <m:sSubSup>
          <m:e>
            <m:r>
              <m:t>O</m:t>
            </m:r>
          </m:e>
          <m:sub>
            <m:r>
              <m:t>4</m:t>
            </m:r>
          </m:sub>
          <m:sup>
            <m:r>
              <m:t>2</m:t>
            </m:r>
            <m:r>
              <m:rPr>
                <m:sty m:val="p"/>
              </m:rPr>
              <m:t>−</m:t>
            </m:r>
          </m:sup>
        </m:sSubSup>
      </m:oMath>
      <w:r>
        <w:t xml:space="preserve"> </w:t>
      </w:r>
      <w:r>
        <w:t xml:space="preserve">concentration across sites (Table</w:t>
      </w:r>
      <w:r>
        <w:t xml:space="preserve"> </w:t>
      </w:r>
      <w:hyperlink w:anchor="tbl-WQ">
        <w:r>
          <w:rPr>
            <w:rStyle w:val="Hyperlink"/>
          </w:rPr>
          <w:t xml:space="preserve">2</w:t>
        </w:r>
      </w:hyperlink>
      <w:r>
        <w:t xml:space="preserve">) was the dominant factor explaining the significant differences in FCH4 across sites.</w:t>
      </w:r>
    </w:p>
    <w:tbl>
      <w:tblPr>
        <w:tblStyle w:val="Table"/>
        <w:tblW w:type="pct" w:w="5000"/>
        <w:tblLook w:firstRow="0" w:lastRow="0" w:firstColumn="0" w:lastColumn="0" w:noHBand="0" w:noVBand="0" w:val="0000"/>
        <w:jc w:val="start"/>
      </w:tblPr>
      <w:tblGrid>
        <w:gridCol w:w="7920"/>
      </w:tblGrid>
      <w:tr>
        <w:tc>
          <w:tcPr/>
          <w:bookmarkStart w:id="54" w:name="fig-VarImp"/>
          <w:p>
            <w:pPr>
              <w:jc w:val="center"/>
            </w:pPr>
            <w:r>
              <w:drawing>
                <wp:inline>
                  <wp:extent cx="4331217" cy="4331217"/>
                  <wp:effectExtent b="0" l="0" r="0" t="0"/>
                  <wp:docPr descr="" title="" id="52" name="Picture"/>
                  <a:graphic>
                    <a:graphicData uri="http://schemas.openxmlformats.org/drawingml/2006/picture">
                      <pic:pic>
                        <pic:nvPicPr>
                          <pic:cNvPr descr="../figures/VarImp_all.png" id="53" name="Picture"/>
                          <pic:cNvPicPr>
                            <a:picLocks noChangeArrowheads="1" noChangeAspect="1"/>
                          </pic:cNvPicPr>
                        </pic:nvPicPr>
                        <pic:blipFill>
                          <a:blip r:embed="rId51"/>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Variable importance.</w:t>
            </w:r>
          </w:p>
          <w:bookmarkEnd w:id="54"/>
        </w:tc>
      </w:tr>
    </w:tbl>
    <w:bookmarkEnd w:id="55"/>
    <w:bookmarkEnd w:id="56"/>
    <w:bookmarkEnd w:id="57"/>
    <w:bookmarkStart w:id="58"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p>
      <w:pPr>
        <w:pStyle w:val="BodyText"/>
      </w:pPr>
      <w:r>
        <w:t xml:space="preserve">Read about P, DOC &amp; pH on FCH4</w:t>
      </w:r>
    </w:p>
    <w:bookmarkEnd w:id="58"/>
    <w:bookmarkStart w:id="59" w:name="p"/>
    <w:p>
      <w:pPr>
        <w:pStyle w:val="Heading1"/>
      </w:pPr>
      <w:r>
        <w:t xml:space="preserve">5. P</w:t>
      </w:r>
    </w:p>
    <w:p>
      <w:pPr>
        <w:pStyle w:val="FirstParagraph"/>
      </w:pPr>
      <w:r>
        <w:t xml:space="preserve">https://www.sciencedirect.com/science/article/pii/S135223101200533X?casa_token=-80RBudOMqgAAAAA:J4kAMkLyyqSO-VlVz-xWAeFYBfC5TJV9SZfs9_Vb3mkzRNITLDtclb0bewoGwe2oqRMUdRiLOw#fig3</w:t>
      </w:r>
    </w:p>
    <w:p>
      <w:pPr>
        <w:pStyle w:val="BodyText"/>
      </w:pPr>
      <w:r>
        <w:t xml:space="preserve">Our results indicated that the effect of P enrichment on CH4 emission was time-dependent. Increased P availability did not affect CH4 emission in 2007 and 2008, but decreased in 2009 and 2010. Notably, four years of P addition decreased cumulative CH4 emission during the growing season in the freshwater marsh, and the effect did not change with fertilization rates. From 2007 to 2010, P additions of 1.2, 4.8 and 9.6 g P m−2 year−1 caused a decline in growing-season CH4 emissions by averages of 23%, 38% and 26%, respectively. Our results suggest that long-term P enrichment driven by agricultural activities would reduce CH4 emission from temperate freshwater wetlands.</w:t>
      </w:r>
    </w:p>
    <w:p>
      <w:pPr>
        <w:pStyle w:val="BodyText"/>
      </w:pPr>
      <w:r>
        <w:t xml:space="preserve">Similar to other natural ecosystems, wetlands are currently experiencing increased P loading as a result of human activities (Keller et al., 2005; Song et al., 2011). In wetland ecosystems, P enrichment is assumed to stimulate plant growth and increase plant production, enhancing substrate availability for methanogens through root exudates and litter turnover, which increases CH4 fluxes to the atmosphere. However, previous studies have found that the response of plant productivity to P addition is often species-specific and that this response varies by wetland type (Verhoeven and Schmitz, 1991; Chapin et al., 2004; Keller et al., 2006).</w:t>
      </w:r>
    </w:p>
    <w:p>
      <w:pPr>
        <w:pStyle w:val="BodyText"/>
      </w:pPr>
      <w:r>
        <w:t xml:space="preserve">Moreover, increased P loading to wetlands may change soil microbial community and activity (Keller et al., 2006) and alter plant-mediated transport of CH4 (Lu et al., 1999).</w:t>
      </w:r>
    </w:p>
    <w:p>
      <w:pPr>
        <w:pStyle w:val="BodyText"/>
      </w:pPr>
      <w:r>
        <w:t xml:space="preserve">See 4. Discussions</w:t>
      </w:r>
    </w:p>
    <w:p>
      <w:pPr>
        <w:pStyle w:val="BodyText"/>
      </w:pPr>
      <w:r>
        <w:t xml:space="preserve">This finding implies that elevated P loading would exert a consistent suppression of CH4 emission in temperate freshwater wetlands.</w:t>
      </w:r>
    </w:p>
    <w:bookmarkEnd w:id="59"/>
    <w:bookmarkStart w:id="63" w:name="references"/>
    <w:p>
      <w:pPr>
        <w:pStyle w:val="Heading1"/>
      </w:pPr>
      <w:r>
        <w:t xml:space="preserve">References</w:t>
      </w:r>
    </w:p>
    <w:bookmarkStart w:id="62" w:name="refs"/>
    <w:bookmarkStart w:id="61"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60">
        <w:r>
          <w:rPr>
            <w:rStyle w:val="Hyperlink"/>
          </w:rPr>
          <w:t xml:space="preserve">https://doi.org/10.1007/s11273-011-9214-6</w:t>
        </w:r>
      </w:hyperlink>
      <w:r>
        <w:t xml:space="preserve">, 2011.</w:t>
      </w:r>
    </w:p>
    <w:bookmarkEnd w:id="61"/>
    <w:bookmarkEnd w:id="62"/>
    <w:p>
      <w:r>
        <w:br w:type="page"/>
      </w:r>
    </w:p>
    <w:bookmarkEnd w:id="63"/>
    <w:bookmarkStart w:id="64" w:name="tables"/>
    <w:p>
      <w:pPr>
        <w:pStyle w:val="Heading1"/>
      </w:pPr>
      <w:r>
        <w:t xml:space="preserve">Tables</w:t>
      </w:r>
    </w:p>
    <w:p>
      <w:r>
        <w:br w:type="page"/>
      </w:r>
    </w:p>
    <w:bookmarkEnd w:id="64"/>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hyperlink" Id="rId60"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2023-07-03T21:30:28Z</dcterms:created>
  <dcterms:modified xsi:type="dcterms:W3CDTF">2023-07-03T21:30:28Z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2023-07-03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