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F695" w14:textId="77777777" w:rsidR="009472CA" w:rsidRPr="00260AC1" w:rsidRDefault="003E1355" w:rsidP="0064228E">
      <w:pPr>
        <w:tabs>
          <w:tab w:val="left" w:pos="1276"/>
        </w:tabs>
        <w:spacing w:after="0" w:line="259" w:lineRule="auto"/>
        <w:ind w:left="0" w:right="16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0AC1">
        <w:rPr>
          <w:rFonts w:ascii="Times New Roman" w:hAnsi="Times New Roman" w:cs="Times New Roman"/>
          <w:b/>
          <w:bCs/>
          <w:sz w:val="24"/>
          <w:szCs w:val="24"/>
        </w:rPr>
        <w:t>Экзаменационная</w:t>
      </w:r>
      <w:r w:rsidRPr="00260A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60AC1">
        <w:rPr>
          <w:rFonts w:ascii="Times New Roman" w:hAnsi="Times New Roman" w:cs="Times New Roman"/>
          <w:b/>
          <w:bCs/>
          <w:sz w:val="24"/>
          <w:szCs w:val="24"/>
        </w:rPr>
        <w:t>программа</w:t>
      </w:r>
    </w:p>
    <w:p w14:paraId="37987F4E" w14:textId="581A7656" w:rsidR="009472CA" w:rsidRPr="00260AC1" w:rsidRDefault="004A66D2" w:rsidP="00042583">
      <w:pPr>
        <w:tabs>
          <w:tab w:val="left" w:pos="1276"/>
        </w:tabs>
        <w:spacing w:after="0" w:line="259" w:lineRule="auto"/>
        <w:ind w:left="10" w:right="160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0AC1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3E1355" w:rsidRPr="00260AC1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260AC1">
        <w:rPr>
          <w:rFonts w:ascii="Times New Roman" w:hAnsi="Times New Roman" w:cs="Times New Roman"/>
          <w:b/>
          <w:bCs/>
          <w:sz w:val="24"/>
          <w:szCs w:val="24"/>
        </w:rPr>
        <w:t xml:space="preserve"> дисциплине </w:t>
      </w:r>
      <w:r w:rsidR="003E1355" w:rsidRPr="00260A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60AC1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E772CD" w:rsidRPr="00260AC1">
        <w:rPr>
          <w:rFonts w:ascii="Times New Roman" w:hAnsi="Times New Roman" w:cs="Times New Roman"/>
          <w:b/>
          <w:bCs/>
          <w:sz w:val="24"/>
          <w:szCs w:val="24"/>
        </w:rPr>
        <w:t>Алгебра и геометрия</w:t>
      </w:r>
      <w:r w:rsidRPr="00260AC1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3E1355" w:rsidRPr="00260AC1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7058B09E" w14:textId="08E7463C" w:rsidR="009472CA" w:rsidRPr="00260AC1" w:rsidRDefault="003E1355" w:rsidP="00042583">
      <w:pPr>
        <w:tabs>
          <w:tab w:val="left" w:pos="1276"/>
        </w:tabs>
        <w:spacing w:after="0" w:line="259" w:lineRule="auto"/>
        <w:ind w:left="10" w:right="160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0AC1">
        <w:rPr>
          <w:rFonts w:ascii="Times New Roman" w:hAnsi="Times New Roman" w:cs="Times New Roman"/>
          <w:b/>
          <w:bCs/>
          <w:sz w:val="24"/>
          <w:szCs w:val="24"/>
        </w:rPr>
        <w:t>весенний</w:t>
      </w:r>
      <w:r w:rsidRPr="00260A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60AC1">
        <w:rPr>
          <w:rFonts w:ascii="Times New Roman" w:hAnsi="Times New Roman" w:cs="Times New Roman"/>
          <w:b/>
          <w:bCs/>
          <w:sz w:val="24"/>
          <w:szCs w:val="24"/>
        </w:rPr>
        <w:t>семестр</w:t>
      </w:r>
      <w:r w:rsidRPr="00260A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60AC1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E772CD" w:rsidRPr="00260AC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260AC1">
        <w:rPr>
          <w:rFonts w:ascii="Times New Roman" w:hAnsi="Times New Roman" w:cs="Times New Roman"/>
          <w:b/>
          <w:bCs/>
          <w:sz w:val="24"/>
          <w:szCs w:val="24"/>
        </w:rPr>
        <w:t>–202</w:t>
      </w:r>
      <w:r w:rsidR="00E772CD" w:rsidRPr="00260AC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260A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60AC1">
        <w:rPr>
          <w:rFonts w:ascii="Times New Roman" w:hAnsi="Times New Roman" w:cs="Times New Roman"/>
          <w:b/>
          <w:bCs/>
          <w:sz w:val="24"/>
          <w:szCs w:val="24"/>
        </w:rPr>
        <w:t>учебного</w:t>
      </w:r>
      <w:r w:rsidRPr="00260A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60AC1">
        <w:rPr>
          <w:rFonts w:ascii="Times New Roman" w:hAnsi="Times New Roman" w:cs="Times New Roman"/>
          <w:b/>
          <w:bCs/>
          <w:sz w:val="24"/>
          <w:szCs w:val="24"/>
        </w:rPr>
        <w:t>года</w:t>
      </w:r>
    </w:p>
    <w:p w14:paraId="157CA313" w14:textId="142468D8" w:rsidR="009472CA" w:rsidRPr="00260AC1" w:rsidRDefault="003E1355" w:rsidP="00042583">
      <w:pPr>
        <w:pStyle w:val="1"/>
        <w:tabs>
          <w:tab w:val="left" w:pos="1276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60AC1">
        <w:rPr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r w:rsidR="00E772CD" w:rsidRPr="00260AC1">
        <w:rPr>
          <w:rFonts w:ascii="Times New Roman" w:hAnsi="Times New Roman" w:cs="Times New Roman"/>
          <w:b/>
          <w:bCs/>
          <w:sz w:val="24"/>
          <w:szCs w:val="24"/>
        </w:rPr>
        <w:t>школы ФБВТ</w:t>
      </w:r>
    </w:p>
    <w:p w14:paraId="4CD63E74" w14:textId="77777777" w:rsidR="004A66D2" w:rsidRPr="00260AC1" w:rsidRDefault="004A66D2" w:rsidP="00042583">
      <w:pPr>
        <w:tabs>
          <w:tab w:val="left" w:pos="1276"/>
        </w:tabs>
        <w:rPr>
          <w:sz w:val="24"/>
          <w:szCs w:val="24"/>
        </w:rPr>
      </w:pPr>
    </w:p>
    <w:p w14:paraId="2B6D7E69" w14:textId="0D5F6608" w:rsidR="009472CA" w:rsidRPr="00260AC1" w:rsidRDefault="003C429A" w:rsidP="00042583">
      <w:pPr>
        <w:pStyle w:val="a3"/>
        <w:numPr>
          <w:ilvl w:val="0"/>
          <w:numId w:val="2"/>
        </w:numPr>
        <w:tabs>
          <w:tab w:val="left" w:pos="1134"/>
          <w:tab w:val="left" w:pos="1276"/>
        </w:tabs>
        <w:spacing w:after="0"/>
        <w:ind w:right="1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E772CD" w:rsidRPr="00260AC1">
        <w:rPr>
          <w:rFonts w:ascii="Times New Roman" w:hAnsi="Times New Roman" w:cs="Times New Roman"/>
          <w:sz w:val="24"/>
          <w:szCs w:val="24"/>
        </w:rPr>
        <w:t>А</w:t>
      </w:r>
      <w:r w:rsidR="003E1355" w:rsidRPr="00260AC1">
        <w:rPr>
          <w:rFonts w:ascii="Times New Roman" w:hAnsi="Times New Roman" w:cs="Times New Roman"/>
          <w:sz w:val="24"/>
          <w:szCs w:val="24"/>
        </w:rPr>
        <w:t>ксиоматика линейного пространства. Линейная зависимость и линейная независимость систем элементов в линейном пространстве. Размерность и базис.</w:t>
      </w:r>
    </w:p>
    <w:p w14:paraId="2297595D" w14:textId="1FD9F0B6" w:rsidR="009472CA" w:rsidRPr="00260AC1" w:rsidRDefault="003C429A" w:rsidP="00042583">
      <w:pPr>
        <w:pStyle w:val="a3"/>
        <w:numPr>
          <w:ilvl w:val="0"/>
          <w:numId w:val="2"/>
        </w:numPr>
        <w:tabs>
          <w:tab w:val="left" w:pos="1134"/>
          <w:tab w:val="left" w:pos="1276"/>
        </w:tabs>
        <w:spacing w:after="0"/>
        <w:ind w:right="1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E1355" w:rsidRPr="00260AC1">
        <w:rPr>
          <w:rFonts w:ascii="Times New Roman" w:hAnsi="Times New Roman" w:cs="Times New Roman"/>
          <w:sz w:val="24"/>
          <w:szCs w:val="24"/>
        </w:rPr>
        <w:t>Разложение по базису в линейном пространстве. Координатное представление элементов линейного пространства и операций с ними. Матрица перехода. Изменение координат при изменении базиса в линейном пространстве. Теорема об изоморфизме.</w:t>
      </w:r>
    </w:p>
    <w:p w14:paraId="234C08BF" w14:textId="06F44B9D" w:rsidR="009472CA" w:rsidRPr="00260AC1" w:rsidRDefault="003C429A" w:rsidP="00042583">
      <w:pPr>
        <w:pStyle w:val="a3"/>
        <w:numPr>
          <w:ilvl w:val="0"/>
          <w:numId w:val="2"/>
        </w:numPr>
        <w:tabs>
          <w:tab w:val="left" w:pos="1134"/>
          <w:tab w:val="left" w:pos="1276"/>
        </w:tabs>
        <w:spacing w:after="0"/>
        <w:ind w:right="1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E1355" w:rsidRPr="00260AC1">
        <w:rPr>
          <w:rFonts w:ascii="Times New Roman" w:hAnsi="Times New Roman" w:cs="Times New Roman"/>
          <w:sz w:val="24"/>
          <w:szCs w:val="24"/>
        </w:rPr>
        <w:t>Подпространства в линейном пространстве. Способы задания подпространств. Сумма и пересечение подпространств. Формула размерности суммы двух подпространств. Прямая сумма.</w:t>
      </w:r>
    </w:p>
    <w:p w14:paraId="36F85790" w14:textId="6505832D" w:rsidR="009472CA" w:rsidRPr="00260AC1" w:rsidRDefault="003C429A" w:rsidP="00042583">
      <w:pPr>
        <w:pStyle w:val="a3"/>
        <w:numPr>
          <w:ilvl w:val="0"/>
          <w:numId w:val="2"/>
        </w:numPr>
        <w:tabs>
          <w:tab w:val="left" w:pos="1134"/>
          <w:tab w:val="left" w:pos="1276"/>
        </w:tabs>
        <w:spacing w:after="0"/>
        <w:ind w:right="1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E1355" w:rsidRPr="00260AC1">
        <w:rPr>
          <w:rFonts w:ascii="Times New Roman" w:hAnsi="Times New Roman" w:cs="Times New Roman"/>
          <w:sz w:val="24"/>
          <w:szCs w:val="24"/>
        </w:rPr>
        <w:t>Линейные отображения и линейные преобразования линейного пространства. Ядро и множество значений. Ранг линейного отображения. Условия инъективности, сюръективности и биективности. Операции над линейными преобразованиями. Обратное преобразование.</w:t>
      </w:r>
    </w:p>
    <w:p w14:paraId="777874CC" w14:textId="1F863795" w:rsidR="00042583" w:rsidRPr="00260AC1" w:rsidRDefault="003C429A" w:rsidP="00042583">
      <w:pPr>
        <w:pStyle w:val="a3"/>
        <w:numPr>
          <w:ilvl w:val="0"/>
          <w:numId w:val="2"/>
        </w:numPr>
        <w:tabs>
          <w:tab w:val="left" w:pos="1134"/>
          <w:tab w:val="left" w:pos="1276"/>
        </w:tabs>
        <w:spacing w:after="0"/>
        <w:ind w:right="1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E1355" w:rsidRPr="00260AC1">
        <w:rPr>
          <w:rFonts w:ascii="Times New Roman" w:hAnsi="Times New Roman" w:cs="Times New Roman"/>
          <w:sz w:val="24"/>
          <w:szCs w:val="24"/>
        </w:rPr>
        <w:t xml:space="preserve">Матрицы линейного отображения и линейного преобразования для конечномерных пространств. Изменение матрицы линейного отображения (преобразования) при замене базисов. </w:t>
      </w:r>
      <w:r w:rsidR="001C2BF3" w:rsidRPr="00260AC1">
        <w:rPr>
          <w:rFonts w:ascii="Times New Roman" w:hAnsi="Times New Roman" w:cs="Times New Roman"/>
          <w:sz w:val="24"/>
          <w:szCs w:val="24"/>
        </w:rPr>
        <w:t>Операции над линейными преобразованиями и их координатная (матричная) форма.</w:t>
      </w:r>
      <w:r w:rsidR="001C2BF3" w:rsidRPr="00260AC1">
        <w:rPr>
          <w:sz w:val="24"/>
          <w:szCs w:val="24"/>
        </w:rPr>
        <w:t xml:space="preserve"> </w:t>
      </w:r>
    </w:p>
    <w:p w14:paraId="796B5984" w14:textId="7B0F079F" w:rsidR="009472CA" w:rsidRPr="00260AC1" w:rsidRDefault="003C429A" w:rsidP="00042583">
      <w:pPr>
        <w:pStyle w:val="a3"/>
        <w:numPr>
          <w:ilvl w:val="0"/>
          <w:numId w:val="2"/>
        </w:numPr>
        <w:tabs>
          <w:tab w:val="left" w:pos="1134"/>
          <w:tab w:val="left" w:pos="1276"/>
        </w:tabs>
        <w:spacing w:after="0"/>
        <w:ind w:right="1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E1355" w:rsidRPr="00260AC1">
        <w:rPr>
          <w:rFonts w:ascii="Times New Roman" w:hAnsi="Times New Roman" w:cs="Times New Roman"/>
          <w:sz w:val="24"/>
          <w:szCs w:val="24"/>
        </w:rPr>
        <w:t>Собственные векторы и собственные значения. Линейная независимость собственных векторов, принадлежащих различным собственным значениям. Инвариантные подпространства линейных преобразований. Ограничение преобразования на инвариантное подпространство. Собственные подпространства.</w:t>
      </w:r>
    </w:p>
    <w:p w14:paraId="516BDA98" w14:textId="0AA45D52" w:rsidR="00042583" w:rsidRPr="00260AC1" w:rsidRDefault="003C429A" w:rsidP="00042583">
      <w:pPr>
        <w:pStyle w:val="a3"/>
        <w:numPr>
          <w:ilvl w:val="0"/>
          <w:numId w:val="2"/>
        </w:numPr>
        <w:tabs>
          <w:tab w:val="left" w:pos="1134"/>
          <w:tab w:val="left" w:pos="1276"/>
        </w:tabs>
        <w:spacing w:after="0"/>
        <w:ind w:right="1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E1355" w:rsidRPr="00260AC1">
        <w:rPr>
          <w:rFonts w:ascii="Times New Roman" w:hAnsi="Times New Roman" w:cs="Times New Roman"/>
          <w:sz w:val="24"/>
          <w:szCs w:val="24"/>
        </w:rPr>
        <w:t xml:space="preserve">Характеристическое уравнение. Инвариантность характеристического многочлена. </w:t>
      </w:r>
    </w:p>
    <w:p w14:paraId="6952289E" w14:textId="1EF78141" w:rsidR="00042583" w:rsidRPr="00260AC1" w:rsidRDefault="00651BEE" w:rsidP="00042583">
      <w:pPr>
        <w:tabs>
          <w:tab w:val="left" w:pos="1134"/>
          <w:tab w:val="left" w:pos="1276"/>
        </w:tabs>
        <w:spacing w:after="0"/>
        <w:ind w:left="341" w:right="145" w:firstLine="0"/>
        <w:rPr>
          <w:rFonts w:ascii="Times New Roman" w:hAnsi="Times New Roman" w:cs="Times New Roman"/>
          <w:sz w:val="24"/>
          <w:szCs w:val="24"/>
        </w:rPr>
      </w:pPr>
      <w:r w:rsidRPr="00260AC1">
        <w:rPr>
          <w:rFonts w:ascii="Times New Roman" w:hAnsi="Times New Roman" w:cs="Times New Roman"/>
          <w:sz w:val="24"/>
          <w:szCs w:val="24"/>
        </w:rPr>
        <w:t>В</w:t>
      </w:r>
      <w:r w:rsidR="003E1355" w:rsidRPr="00260AC1">
        <w:rPr>
          <w:rFonts w:ascii="Times New Roman" w:hAnsi="Times New Roman" w:cs="Times New Roman"/>
          <w:sz w:val="24"/>
          <w:szCs w:val="24"/>
        </w:rPr>
        <w:t xml:space="preserve">ыражение определителя и следа матрицы через корни характеристического многочлена. </w:t>
      </w:r>
    </w:p>
    <w:p w14:paraId="26560794" w14:textId="7D560D88" w:rsidR="009472CA" w:rsidRPr="00260AC1" w:rsidRDefault="003E1355" w:rsidP="00042583">
      <w:pPr>
        <w:tabs>
          <w:tab w:val="left" w:pos="1134"/>
          <w:tab w:val="left" w:pos="1276"/>
        </w:tabs>
        <w:spacing w:after="0"/>
        <w:ind w:left="341" w:right="145" w:firstLine="0"/>
        <w:rPr>
          <w:rFonts w:ascii="Times New Roman" w:hAnsi="Times New Roman" w:cs="Times New Roman"/>
          <w:sz w:val="24"/>
          <w:szCs w:val="24"/>
        </w:rPr>
      </w:pPr>
      <w:r w:rsidRPr="00260AC1">
        <w:rPr>
          <w:rFonts w:ascii="Times New Roman" w:hAnsi="Times New Roman" w:cs="Times New Roman"/>
          <w:sz w:val="24"/>
          <w:szCs w:val="24"/>
        </w:rPr>
        <w:t>Оценка размерности собственного подпространства. Условия диагонализуемости матрицы линейного преобразования.</w:t>
      </w:r>
    </w:p>
    <w:p w14:paraId="7D073CDF" w14:textId="76B8E25C" w:rsidR="009472CA" w:rsidRPr="00260AC1" w:rsidRDefault="00DA5093" w:rsidP="00042583">
      <w:pPr>
        <w:pStyle w:val="a3"/>
        <w:numPr>
          <w:ilvl w:val="0"/>
          <w:numId w:val="2"/>
        </w:numPr>
        <w:tabs>
          <w:tab w:val="left" w:pos="1134"/>
          <w:tab w:val="left" w:pos="1276"/>
        </w:tabs>
        <w:spacing w:after="0"/>
        <w:ind w:right="1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E1355" w:rsidRPr="00260AC1">
        <w:rPr>
          <w:rFonts w:ascii="Times New Roman" w:hAnsi="Times New Roman" w:cs="Times New Roman"/>
          <w:sz w:val="24"/>
          <w:szCs w:val="24"/>
        </w:rPr>
        <w:t>Билинейные и квадратичные функции (формы). Их координатное представление. Изменение матриц билинейных и квадратичных форм при изменении базиса.</w:t>
      </w:r>
    </w:p>
    <w:p w14:paraId="19B73A5D" w14:textId="4B8AB94F" w:rsidR="009472CA" w:rsidRPr="00260AC1" w:rsidRDefault="00EE7B2E" w:rsidP="00042583">
      <w:pPr>
        <w:pStyle w:val="a3"/>
        <w:numPr>
          <w:ilvl w:val="0"/>
          <w:numId w:val="2"/>
        </w:numPr>
        <w:tabs>
          <w:tab w:val="left" w:pos="1134"/>
          <w:tab w:val="left" w:pos="1276"/>
        </w:tabs>
        <w:spacing w:after="0"/>
        <w:ind w:right="1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E1355" w:rsidRPr="00260AC1">
        <w:rPr>
          <w:rFonts w:ascii="Times New Roman" w:hAnsi="Times New Roman" w:cs="Times New Roman"/>
          <w:sz w:val="24"/>
          <w:szCs w:val="24"/>
        </w:rPr>
        <w:t>Диагональный и канонический вид квадратичных форм. Приведение квадратичных форм к каноническому виду с помощью элементарных преобразований и методом Лагранжа. Закон инерции квадратичных форм. Знакоопределенные квадратичные формы. Критерий Сильвестра.</w:t>
      </w:r>
    </w:p>
    <w:p w14:paraId="2546C54C" w14:textId="70627D6C" w:rsidR="009472CA" w:rsidRPr="00260AC1" w:rsidRDefault="00F508DA" w:rsidP="00042583">
      <w:pPr>
        <w:pStyle w:val="a3"/>
        <w:numPr>
          <w:ilvl w:val="0"/>
          <w:numId w:val="2"/>
        </w:numPr>
        <w:tabs>
          <w:tab w:val="left" w:pos="1134"/>
          <w:tab w:val="left" w:pos="1276"/>
        </w:tabs>
        <w:spacing w:after="0"/>
        <w:ind w:right="145"/>
        <w:rPr>
          <w:rFonts w:ascii="Times New Roman" w:hAnsi="Times New Roman" w:cs="Times New Roman"/>
          <w:sz w:val="24"/>
          <w:szCs w:val="24"/>
        </w:rPr>
      </w:pPr>
      <w:r w:rsidRPr="002F2C1F">
        <w:rPr>
          <w:rFonts w:ascii="Times New Roman" w:hAnsi="Times New Roman" w:cs="Times New Roman"/>
          <w:sz w:val="24"/>
          <w:szCs w:val="24"/>
        </w:rPr>
        <w:t>+</w:t>
      </w:r>
      <w:r w:rsidR="003E1355" w:rsidRPr="00260AC1">
        <w:rPr>
          <w:rFonts w:ascii="Times New Roman" w:hAnsi="Times New Roman" w:cs="Times New Roman"/>
          <w:sz w:val="24"/>
          <w:szCs w:val="24"/>
        </w:rPr>
        <w:t>Аксиоматика евклидова пространства. Неравенство Коши–Буняковского. Неравенство треугольника. Матрица Грама и ее свойства. Ортогональные базисы. Процесс ортогонализации. Переход от одного ортонормированного базиса к другому. Ортогональные матрицы.</w:t>
      </w:r>
    </w:p>
    <w:p w14:paraId="270BC156" w14:textId="0E44313E" w:rsidR="009472CA" w:rsidRPr="00260AC1" w:rsidRDefault="002F2C1F" w:rsidP="00042583">
      <w:pPr>
        <w:pStyle w:val="a3"/>
        <w:numPr>
          <w:ilvl w:val="0"/>
          <w:numId w:val="2"/>
        </w:numPr>
        <w:tabs>
          <w:tab w:val="left" w:pos="1134"/>
          <w:tab w:val="left" w:pos="1276"/>
        </w:tabs>
        <w:spacing w:after="0"/>
        <w:ind w:right="1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E1355" w:rsidRPr="00260AC1">
        <w:rPr>
          <w:rFonts w:ascii="Times New Roman" w:hAnsi="Times New Roman" w:cs="Times New Roman"/>
          <w:sz w:val="24"/>
          <w:szCs w:val="24"/>
        </w:rPr>
        <w:t>Ортогональное дополнение подпространства. Ортогональное проектирование на подпространство.</w:t>
      </w:r>
    </w:p>
    <w:p w14:paraId="0904DA16" w14:textId="5B655D34" w:rsidR="009472CA" w:rsidRPr="00260AC1" w:rsidRDefault="004D3CBD" w:rsidP="00042583">
      <w:pPr>
        <w:pStyle w:val="a3"/>
        <w:numPr>
          <w:ilvl w:val="0"/>
          <w:numId w:val="2"/>
        </w:numPr>
        <w:tabs>
          <w:tab w:val="left" w:pos="1134"/>
          <w:tab w:val="left" w:pos="1276"/>
        </w:tabs>
        <w:spacing w:after="0"/>
        <w:ind w:right="1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E1355" w:rsidRPr="00260AC1">
        <w:rPr>
          <w:rFonts w:ascii="Times New Roman" w:hAnsi="Times New Roman" w:cs="Times New Roman"/>
          <w:sz w:val="24"/>
          <w:szCs w:val="24"/>
        </w:rPr>
        <w:t>Линейные преобразования евклидова пространства. Преобразование, сопряженное данному. Матрица сопряженного преобразования. Свойства сопряженного преобразования.</w:t>
      </w:r>
    </w:p>
    <w:p w14:paraId="1A2F294E" w14:textId="54A991B9" w:rsidR="009472CA" w:rsidRPr="00260AC1" w:rsidRDefault="007932B9" w:rsidP="00042583">
      <w:pPr>
        <w:pStyle w:val="a3"/>
        <w:numPr>
          <w:ilvl w:val="0"/>
          <w:numId w:val="2"/>
        </w:numPr>
        <w:tabs>
          <w:tab w:val="left" w:pos="1134"/>
          <w:tab w:val="left" w:pos="1276"/>
        </w:tabs>
        <w:spacing w:after="0"/>
        <w:ind w:right="1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E1355" w:rsidRPr="00260AC1">
        <w:rPr>
          <w:rFonts w:ascii="Times New Roman" w:hAnsi="Times New Roman" w:cs="Times New Roman"/>
          <w:sz w:val="24"/>
          <w:szCs w:val="24"/>
        </w:rPr>
        <w:t>Самосопряженные преобразования. Свойства их собственных векторов и собственных значений. Существование ортонормированного базиса из собственных векторов самосопряженного преобразования.</w:t>
      </w:r>
    </w:p>
    <w:p w14:paraId="4F7A8C16" w14:textId="488B84FB" w:rsidR="0064228E" w:rsidRPr="00260AC1" w:rsidRDefault="008E221C" w:rsidP="00E772CD">
      <w:pPr>
        <w:pStyle w:val="a3"/>
        <w:numPr>
          <w:ilvl w:val="0"/>
          <w:numId w:val="2"/>
        </w:numPr>
        <w:tabs>
          <w:tab w:val="left" w:pos="1134"/>
          <w:tab w:val="left" w:pos="1276"/>
        </w:tabs>
        <w:spacing w:after="0"/>
        <w:ind w:right="1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E1355" w:rsidRPr="00260AC1">
        <w:rPr>
          <w:rFonts w:ascii="Times New Roman" w:hAnsi="Times New Roman" w:cs="Times New Roman"/>
          <w:sz w:val="24"/>
          <w:szCs w:val="24"/>
        </w:rPr>
        <w:t xml:space="preserve">Ортогональные преобразования, их матрицы. </w:t>
      </w:r>
    </w:p>
    <w:p w14:paraId="3628CCD8" w14:textId="4BD4D50E" w:rsidR="009472CA" w:rsidRPr="00260AC1" w:rsidRDefault="00EA49F4" w:rsidP="00042583">
      <w:pPr>
        <w:pStyle w:val="a3"/>
        <w:numPr>
          <w:ilvl w:val="0"/>
          <w:numId w:val="2"/>
        </w:numPr>
        <w:tabs>
          <w:tab w:val="left" w:pos="1134"/>
          <w:tab w:val="left" w:pos="1276"/>
        </w:tabs>
        <w:spacing w:after="0"/>
        <w:ind w:right="1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E1355" w:rsidRPr="00260AC1">
        <w:rPr>
          <w:rFonts w:ascii="Times New Roman" w:hAnsi="Times New Roman" w:cs="Times New Roman"/>
          <w:sz w:val="24"/>
          <w:szCs w:val="24"/>
        </w:rPr>
        <w:t>Построение ортонормированного базиса, в котором квадратичная форма имеет диагональный вид. Одновременное приведение к диагональному виду пары квадратичных форм, одна из которых положительно определена.</w:t>
      </w:r>
    </w:p>
    <w:p w14:paraId="64317C5E" w14:textId="3BD087E1" w:rsidR="00651BEE" w:rsidRPr="00260AC1" w:rsidRDefault="00651BEE" w:rsidP="00042583">
      <w:pPr>
        <w:pStyle w:val="a3"/>
        <w:tabs>
          <w:tab w:val="left" w:pos="1276"/>
        </w:tabs>
        <w:spacing w:after="0"/>
        <w:ind w:left="682" w:right="145" w:firstLine="0"/>
        <w:rPr>
          <w:rFonts w:ascii="Times New Roman" w:hAnsi="Times New Roman" w:cs="Times New Roman"/>
          <w:sz w:val="24"/>
          <w:szCs w:val="24"/>
        </w:rPr>
      </w:pPr>
    </w:p>
    <w:sectPr w:rsidR="00651BEE" w:rsidRPr="00260AC1" w:rsidSect="0064228E">
      <w:pgSz w:w="11906" w:h="16838"/>
      <w:pgMar w:top="709" w:right="566" w:bottom="709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ubheading Semibold"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82388"/>
    <w:multiLevelType w:val="hybridMultilevel"/>
    <w:tmpl w:val="CBC27914"/>
    <w:lvl w:ilvl="0" w:tplc="50CE6E10">
      <w:start w:val="1"/>
      <w:numFmt w:val="decimal"/>
      <w:lvlText w:val="%1."/>
      <w:lvlJc w:val="left"/>
      <w:pPr>
        <w:ind w:left="0"/>
      </w:pPr>
      <w:rPr>
        <w:rFonts w:ascii="Sitka Subheading Semibold" w:eastAsia="Calibri" w:hAnsi="Sitka Subheading Semibold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786E16">
      <w:start w:val="1"/>
      <w:numFmt w:val="lowerLetter"/>
      <w:lvlText w:val="%2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D60E70A">
      <w:start w:val="1"/>
      <w:numFmt w:val="lowerRoman"/>
      <w:lvlText w:val="%3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8E6935E">
      <w:start w:val="1"/>
      <w:numFmt w:val="decimal"/>
      <w:lvlText w:val="%4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E71EF804">
      <w:start w:val="1"/>
      <w:numFmt w:val="lowerLetter"/>
      <w:lvlText w:val="%5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76498B6">
      <w:start w:val="1"/>
      <w:numFmt w:val="lowerRoman"/>
      <w:lvlText w:val="%6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07D036F2">
      <w:start w:val="1"/>
      <w:numFmt w:val="decimal"/>
      <w:lvlText w:val="%7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4B2E8F62">
      <w:start w:val="1"/>
      <w:numFmt w:val="lowerLetter"/>
      <w:lvlText w:val="%8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4AF626C6">
      <w:start w:val="1"/>
      <w:numFmt w:val="lowerRoman"/>
      <w:lvlText w:val="%9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0F4F3E"/>
    <w:multiLevelType w:val="hybridMultilevel"/>
    <w:tmpl w:val="376EECE8"/>
    <w:lvl w:ilvl="0" w:tplc="371ECD64">
      <w:start w:val="1"/>
      <w:numFmt w:val="decimal"/>
      <w:lvlText w:val="%1."/>
      <w:lvlJc w:val="left"/>
      <w:pPr>
        <w:ind w:left="341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81" w:hanging="360"/>
      </w:pPr>
    </w:lvl>
    <w:lvl w:ilvl="2" w:tplc="0419001B" w:tentative="1">
      <w:start w:val="1"/>
      <w:numFmt w:val="lowerRoman"/>
      <w:lvlText w:val="%3."/>
      <w:lvlJc w:val="right"/>
      <w:pPr>
        <w:ind w:left="2501" w:hanging="180"/>
      </w:pPr>
    </w:lvl>
    <w:lvl w:ilvl="3" w:tplc="0419000F" w:tentative="1">
      <w:start w:val="1"/>
      <w:numFmt w:val="decimal"/>
      <w:lvlText w:val="%4."/>
      <w:lvlJc w:val="left"/>
      <w:pPr>
        <w:ind w:left="3221" w:hanging="360"/>
      </w:pPr>
    </w:lvl>
    <w:lvl w:ilvl="4" w:tplc="04190019" w:tentative="1">
      <w:start w:val="1"/>
      <w:numFmt w:val="lowerLetter"/>
      <w:lvlText w:val="%5."/>
      <w:lvlJc w:val="left"/>
      <w:pPr>
        <w:ind w:left="3941" w:hanging="360"/>
      </w:pPr>
    </w:lvl>
    <w:lvl w:ilvl="5" w:tplc="0419001B" w:tentative="1">
      <w:start w:val="1"/>
      <w:numFmt w:val="lowerRoman"/>
      <w:lvlText w:val="%6."/>
      <w:lvlJc w:val="right"/>
      <w:pPr>
        <w:ind w:left="4661" w:hanging="180"/>
      </w:pPr>
    </w:lvl>
    <w:lvl w:ilvl="6" w:tplc="0419000F" w:tentative="1">
      <w:start w:val="1"/>
      <w:numFmt w:val="decimal"/>
      <w:lvlText w:val="%7."/>
      <w:lvlJc w:val="left"/>
      <w:pPr>
        <w:ind w:left="5381" w:hanging="360"/>
      </w:pPr>
    </w:lvl>
    <w:lvl w:ilvl="7" w:tplc="04190019" w:tentative="1">
      <w:start w:val="1"/>
      <w:numFmt w:val="lowerLetter"/>
      <w:lvlText w:val="%8."/>
      <w:lvlJc w:val="left"/>
      <w:pPr>
        <w:ind w:left="6101" w:hanging="360"/>
      </w:pPr>
    </w:lvl>
    <w:lvl w:ilvl="8" w:tplc="0419001B" w:tentative="1">
      <w:start w:val="1"/>
      <w:numFmt w:val="lowerRoman"/>
      <w:lvlText w:val="%9."/>
      <w:lvlJc w:val="right"/>
      <w:pPr>
        <w:ind w:left="6821" w:hanging="180"/>
      </w:pPr>
    </w:lvl>
  </w:abstractNum>
  <w:num w:numId="1" w16cid:durableId="2024473996">
    <w:abstractNumId w:val="0"/>
  </w:num>
  <w:num w:numId="2" w16cid:durableId="1970236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2CA"/>
    <w:rsid w:val="00042583"/>
    <w:rsid w:val="001432AD"/>
    <w:rsid w:val="001B3B1D"/>
    <w:rsid w:val="001C2BF3"/>
    <w:rsid w:val="00255C80"/>
    <w:rsid w:val="00260AC1"/>
    <w:rsid w:val="002A7974"/>
    <w:rsid w:val="002D496D"/>
    <w:rsid w:val="002F2C1F"/>
    <w:rsid w:val="003C429A"/>
    <w:rsid w:val="003E1355"/>
    <w:rsid w:val="003E73B9"/>
    <w:rsid w:val="003F29C5"/>
    <w:rsid w:val="004A66D2"/>
    <w:rsid w:val="004D3CBD"/>
    <w:rsid w:val="004F19FE"/>
    <w:rsid w:val="00506104"/>
    <w:rsid w:val="00625729"/>
    <w:rsid w:val="0063167D"/>
    <w:rsid w:val="0064228E"/>
    <w:rsid w:val="00651BEE"/>
    <w:rsid w:val="007932B9"/>
    <w:rsid w:val="0083532C"/>
    <w:rsid w:val="008E221C"/>
    <w:rsid w:val="009472CA"/>
    <w:rsid w:val="00C43C40"/>
    <w:rsid w:val="00D44F6B"/>
    <w:rsid w:val="00D454E3"/>
    <w:rsid w:val="00DA5093"/>
    <w:rsid w:val="00DC12C6"/>
    <w:rsid w:val="00E772CD"/>
    <w:rsid w:val="00EA49F4"/>
    <w:rsid w:val="00EC536D"/>
    <w:rsid w:val="00EE7B2E"/>
    <w:rsid w:val="00F5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6644D"/>
  <w15:docId w15:val="{8C9CEF7E-8C34-4149-8941-EC6FFE10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" w:line="260" w:lineRule="auto"/>
      <w:ind w:left="351" w:firstLine="341"/>
      <w:jc w:val="both"/>
    </w:pPr>
    <w:rPr>
      <w:rFonts w:ascii="Calibri" w:eastAsia="Calibri" w:hAnsi="Calibri" w:cs="Calibri"/>
      <w:color w:val="000000"/>
      <w:sz w:val="29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9"/>
      <w:ind w:right="160"/>
      <w:jc w:val="center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4"/>
    </w:rPr>
  </w:style>
  <w:style w:type="paragraph" w:styleId="a3">
    <w:name w:val="List Paragraph"/>
    <w:basedOn w:val="a"/>
    <w:uiPriority w:val="34"/>
    <w:qFormat/>
    <w:rsid w:val="0062572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51BE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4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Наталья Геннадьевна</dc:creator>
  <cp:keywords/>
  <cp:lastModifiedBy>Семён Касьянов</cp:lastModifiedBy>
  <cp:revision>9</cp:revision>
  <dcterms:created xsi:type="dcterms:W3CDTF">2023-04-03T13:15:00Z</dcterms:created>
  <dcterms:modified xsi:type="dcterms:W3CDTF">2023-04-13T12:15:00Z</dcterms:modified>
</cp:coreProperties>
</file>