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8EE74" w14:textId="77777777" w:rsidR="00906370" w:rsidRDefault="001802AC" w:rsidP="001802AC">
      <w:pPr>
        <w:jc w:val="both"/>
      </w:pPr>
      <w:r>
        <w:t>The las</w:t>
      </w:r>
      <w:bookmarkStart w:id="0" w:name="_GoBack"/>
      <w:bookmarkEnd w:id="0"/>
      <w:r>
        <w:t xml:space="preserve">t two sections taught </w:t>
      </w:r>
      <w:r w:rsidR="00C74A83">
        <w:t xml:space="preserve">rules that </w:t>
      </w:r>
      <w:r>
        <w:t xml:space="preserve">differentiate certain classes of functions. </w:t>
      </w:r>
      <w:r w:rsidR="00C74A83">
        <w:t xml:space="preserve">What if those rules do not cover a certain function? </w:t>
      </w:r>
      <w:r>
        <w:t xml:space="preserve">In this section, we will learn how to combine those rules to differentiate any function of a differentiable function using the </w:t>
      </w:r>
      <w:r w:rsidRPr="001802AC">
        <w:rPr>
          <w:i/>
        </w:rPr>
        <w:t>Chain Rule</w:t>
      </w:r>
      <w:r>
        <w:t>.</w:t>
      </w:r>
    </w:p>
    <w:p w14:paraId="2E6090CA" w14:textId="77777777" w:rsidR="001802AC" w:rsidRDefault="001802AC" w:rsidP="001802AC">
      <w:pPr>
        <w:pStyle w:val="Heading1"/>
      </w:pPr>
      <w:r>
        <w:t>The Chain Rule</w:t>
      </w:r>
    </w:p>
    <w:p w14:paraId="499F5526" w14:textId="7E546888" w:rsidR="00F8407D" w:rsidRDefault="00F8407D" w:rsidP="00F8407D">
      <w:pPr>
        <w:jc w:val="both"/>
      </w:pPr>
      <w:r>
        <w:t xml:space="preserve">Some functions are not of </w:t>
      </w:r>
      <m:oMath>
        <m:r>
          <w:rPr>
            <w:rFonts w:ascii="Cambria Math" w:hAnsi="Cambria Math"/>
          </w:rPr>
          <m:t>x</m:t>
        </m:r>
      </m:oMath>
      <w:r>
        <w:t xml:space="preserve"> but of another function, that one being of </w:t>
      </w:r>
      <m:oMath>
        <m:r>
          <w:rPr>
            <w:rFonts w:ascii="Cambria Math" w:hAnsi="Cambria Math"/>
          </w:rPr>
          <m:t>x</m:t>
        </m:r>
      </m:oMath>
      <w:r>
        <w:t xml:space="preserve">. For example: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  <w:r>
        <w:t xml:space="preserve"> is a function (square root) of another function (addition) of the number one and another function (the square of </w:t>
      </w:r>
      <m:oMath>
        <m:r>
          <w:rPr>
            <w:rFonts w:ascii="Cambria Math" w:hAnsi="Cambria Math"/>
          </w:rPr>
          <m:t>x</m:t>
        </m:r>
      </m:oMath>
      <w:r>
        <w:t xml:space="preserve">). The chart below illustrates the functions in </w:t>
      </w:r>
      <w:r w:rsidR="00671B8F">
        <w:t xml:space="preserve">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:</w:t>
      </w:r>
    </w:p>
    <w:p w14:paraId="00925C63" w14:textId="77777777" w:rsidR="001802AC" w:rsidRDefault="00F8407D" w:rsidP="00F8407D">
      <w:r>
        <w:rPr>
          <w:noProof/>
        </w:rPr>
        <w:drawing>
          <wp:inline distT="0" distB="0" distL="0" distR="0" wp14:anchorId="316CE927" wp14:editId="3A395253">
            <wp:extent cx="5983605" cy="255905"/>
            <wp:effectExtent l="0" t="19050" r="36195" b="488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5CB2998" w14:textId="68AA9C39" w:rsidR="00671B8F" w:rsidRDefault="00671B8F" w:rsidP="00F8407D">
      <w:pPr>
        <w:rPr>
          <w:rStyle w:val="CalcKeyChar"/>
        </w:rPr>
      </w:pPr>
      <w:r w:rsidRPr="00671B8F">
        <w:rPr>
          <w:noProof/>
        </w:rPr>
        <w:drawing>
          <wp:anchor distT="0" distB="0" distL="114300" distR="114300" simplePos="0" relativeHeight="251659264" behindDoc="0" locked="0" layoutInCell="1" allowOverlap="1" wp14:anchorId="6B7E4AB0" wp14:editId="3897FC8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33400" cy="313055"/>
            <wp:effectExtent l="0" t="0" r="0" b="0"/>
            <wp:wrapSquare wrapText="bothSides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86ED3FF3-D433-49EE-BBF9-7679E00C0F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86ED3FF3-D433-49EE-BBF9-7679E00C0F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BC5">
        <w:t xml:space="preserve">In the past, each differentiation rule (from sections 2-3 and 2-4) would cover only one function, or one chevron in the diagram above. </w:t>
      </w:r>
      <w:r w:rsidR="00BB0BC5" w:rsidRPr="00671B8F">
        <w:rPr>
          <w:rStyle w:val="CalcKeyChar"/>
        </w:rPr>
        <w:t>The chain rule links them together.</w:t>
      </w:r>
    </w:p>
    <w:p w14:paraId="7438369B" w14:textId="481F4948" w:rsidR="00846EC0" w:rsidRDefault="00846EC0" w:rsidP="00846EC0">
      <w:r>
        <w:t xml:space="preserve">The chain rule uses a variable </w:t>
      </w:r>
      <m:oMath>
        <m:r>
          <w:rPr>
            <w:rFonts w:ascii="Cambria Math" w:hAnsi="Cambria Math"/>
          </w:rPr>
          <m:t>u</m:t>
        </m:r>
      </m:oMath>
      <w:r>
        <w:t xml:space="preserve"> to extract the insides of a function.</w:t>
      </w:r>
    </w:p>
    <w:p w14:paraId="6A0ED231" w14:textId="5E44E5BD" w:rsidR="00671B8F" w:rsidRDefault="00671B8F" w:rsidP="00F8407D">
      <w:r>
        <w:t>For a</w:t>
      </w:r>
      <w:r w:rsidR="00E438BD">
        <w:t>ny</w:t>
      </w:r>
      <w:r>
        <w:t xml:space="preserve">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954C79">
        <w:t xml:space="preserve"> where </w:t>
      </w:r>
      <m:oMath>
        <m:r>
          <w:rPr>
            <w:rFonts w:ascii="Cambria Math" w:hAnsi="Cambria Math"/>
          </w:rPr>
          <m:t>u=g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, the derivative is: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50"/>
      </w:tblGrid>
      <w:tr w:rsidR="00671B8F" w14:paraId="3C6A84A6" w14:textId="77777777" w:rsidTr="00671B8F">
        <w:tc>
          <w:tcPr>
            <w:tcW w:w="9350" w:type="dxa"/>
          </w:tcPr>
          <w:p w14:paraId="4622B445" w14:textId="3C20E309" w:rsidR="00671B8F" w:rsidRDefault="00316B3B" w:rsidP="00F8407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671B8F" w14:paraId="1CDAFCC2" w14:textId="77777777" w:rsidTr="00671B8F">
        <w:tc>
          <w:tcPr>
            <w:tcW w:w="9350" w:type="dxa"/>
          </w:tcPr>
          <w:p w14:paraId="5D6F9604" w14:textId="19A6E1AC" w:rsidR="00671B8F" w:rsidRDefault="00316B3B" w:rsidP="00F8407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∘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  <w:tr w:rsidR="00954C79" w14:paraId="5C002B04" w14:textId="77777777" w:rsidTr="00954C79">
        <w:trPr>
          <w:trHeight w:val="530"/>
        </w:trPr>
        <w:tc>
          <w:tcPr>
            <w:tcW w:w="9350" w:type="dxa"/>
          </w:tcPr>
          <w:p w14:paraId="688F4969" w14:textId="758BD632" w:rsidR="00954C79" w:rsidRPr="00954C79" w:rsidRDefault="00316B3B" w:rsidP="00954C7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Yu Mincho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Times New Roman"/>
                      </w:rPr>
                      <m:t>dy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eastAsia="Yu Mincho" w:hAnsi="Cambria Math" w:cs="Times New Roman"/>
                      </w:rPr>
                      <m:t>dx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den>
                </m:f>
                <m:r>
                  <w:rPr>
                    <w:rFonts w:ascii="Cambria Math" w:eastAsia="Yu Mincho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Times New Roman"/>
                      </w:rPr>
                      <m:t>dy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eastAsia="Yu Mincho" w:hAnsi="Cambria Math" w:cs="Times New Roman"/>
                      </w:rPr>
                      <m:t>du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Yu Mincho" w:hAnsi="Cambria Math" w:cs="Times New Roman"/>
                  </w:rPr>
                  <m:t>⋅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Times New Roman"/>
                      </w:rPr>
                      <m:t>du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eastAsia="Yu Mincho" w:hAnsi="Cambria Math" w:cs="Times New Roman"/>
                      </w:rPr>
                      <m:t>dx</m:t>
                    </m: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den>
                </m:f>
              </m:oMath>
            </m:oMathPara>
          </w:p>
        </w:tc>
      </w:tr>
    </w:tbl>
    <w:p w14:paraId="62731AA5" w14:textId="6A3BE10C" w:rsidR="00954C79" w:rsidRDefault="00954C79" w:rsidP="00954C79">
      <w:r>
        <w:t xml:space="preserve">The chain rule works from </w:t>
      </w:r>
      <w:r w:rsidRPr="00954C79">
        <w:rPr>
          <w:b/>
        </w:rPr>
        <w:t>outside to inside</w:t>
      </w:r>
      <w:r>
        <w:t xml:space="preserve">. In the chevron chart above, differentiate the square root first, which will naturally require differentiating the function before it, and so on, up to </w:t>
      </w:r>
      <m:oMath>
        <m:r>
          <w:rPr>
            <w:rFonts w:ascii="Cambria Math" w:hAnsi="Cambria Math"/>
          </w:rPr>
          <m:t>x</m:t>
        </m:r>
      </m:oMath>
      <w:r>
        <w:t>, in which case the chain rule will no longer apply.</w:t>
      </w:r>
    </w:p>
    <w:p w14:paraId="16357449" w14:textId="14FB48DA" w:rsidR="009039F0" w:rsidRDefault="009039F0" w:rsidP="009039F0">
      <w:pPr>
        <w:pStyle w:val="Heading1"/>
      </w:pPr>
      <w:r>
        <w:t>Proof of the Chain Rule</w:t>
      </w:r>
    </w:p>
    <w:p w14:paraId="0F95E825" w14:textId="0AB8645E" w:rsidR="007D57A4" w:rsidRDefault="007D57A4" w:rsidP="009039F0">
      <w:r>
        <w:t xml:space="preserve">Let’s find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of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>.</w:t>
      </w:r>
    </w:p>
    <w:p w14:paraId="7AADB27A" w14:textId="2C6BA6E2" w:rsidR="007D57A4" w:rsidRDefault="007D57A4" w:rsidP="009039F0">
      <w:r>
        <w:t xml:space="preserve">Suppose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differentiable at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7C83739B" w14:textId="71CB0755" w:rsidR="007D57A4" w:rsidRDefault="007D57A4" w:rsidP="009039F0">
      <w:r>
        <w:t xml:space="preserve">Let </w:t>
      </w:r>
      <m:oMath>
        <m:r>
          <w:rPr>
            <w:rFonts w:ascii="Cambria Math" w:hAnsi="Cambria Math"/>
          </w:rPr>
          <m:t>u=g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3DE7C401" w14:textId="2D72FDD2" w:rsidR="00F02FB4" w:rsidRDefault="007D57A4" w:rsidP="009039F0">
      <w:r>
        <w:t xml:space="preserve">Let </w:t>
      </w:r>
      <m:oMath>
        <m:r>
          <w:rPr>
            <w:rFonts w:ascii="Cambria Math" w:hAnsi="Cambria Math"/>
          </w:rPr>
          <m:t>b=g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.</w:t>
      </w:r>
    </w:p>
    <w:p w14:paraId="3D571C8F" w14:textId="0DE24E6F" w:rsidR="007D57A4" w:rsidRPr="00F02FB4" w:rsidRDefault="00316B3B" w:rsidP="009039F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32D13C8C" w14:textId="197E5C5A" w:rsidR="007D57A4" w:rsidRDefault="00F02FB4" w:rsidP="009039F0">
      <w:r>
        <w:t>Let’s define that for any derivative</w:t>
      </w:r>
      <w:r w:rsidR="00F078F9">
        <w:t>, e</w:t>
      </w:r>
      <w:r>
        <w:t>psilon (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) is the difference between the dif</w:t>
      </w:r>
      <w:r w:rsidR="00F078F9">
        <w:t>ference quotient and derivative, and is zero for a continuous function.</w:t>
      </w:r>
    </w:p>
    <w:p w14:paraId="27B18AB0" w14:textId="6508A72D" w:rsidR="00F078F9" w:rsidRPr="00F078F9" w:rsidRDefault="00F078F9" w:rsidP="009039F0"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2BED643" w14:textId="015C1FE7" w:rsidR="00F02FB4" w:rsidRPr="00F02FB4" w:rsidRDefault="00316B3B" w:rsidP="009039F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37611C1A" w14:textId="5566AEF2" w:rsidR="00F02FB4" w:rsidRDefault="00F078F9" w:rsidP="009039F0">
      <w:r>
        <w:lastRenderedPageBreak/>
        <w:t>Using algebra, that equation can be rearranged to:</w:t>
      </w:r>
    </w:p>
    <w:p w14:paraId="18754F65" w14:textId="5C7E1A1E" w:rsidR="00F078F9" w:rsidRPr="00AD46DA" w:rsidRDefault="00F078F9" w:rsidP="009039F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x+</m:t>
          </m:r>
          <m:r>
            <m:rPr>
              <m:sty m:val="p"/>
            </m:rPr>
            <w:rPr>
              <w:rFonts w:ascii="Cambria Math" w:hAnsi="Cambria Math"/>
            </w:rPr>
            <m:t>εΔ</m:t>
          </m:r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14:paraId="0F6FD42F" w14:textId="4E15E34B" w:rsidR="00F078F9" w:rsidRDefault="00F078F9" w:rsidP="009039F0">
      <w:r>
        <w:t xml:space="preserve">Let’s apply this combining the derivatives of </w:t>
      </w:r>
      <m:oMath>
        <m:r>
          <w:rPr>
            <w:rFonts w:ascii="Cambria Math" w:hAnsi="Cambria Math"/>
          </w:rPr>
          <m:t>y=f(b)</m:t>
        </m:r>
      </m:oMath>
      <w:r>
        <w:t xml:space="preserve"> and </w:t>
      </w:r>
      <m:oMath>
        <m:r>
          <w:rPr>
            <w:rFonts w:ascii="Cambria Math" w:hAnsi="Cambria Math"/>
          </w:rPr>
          <m:t>u=g(a)</m:t>
        </m:r>
      </m:oMath>
      <w:r>
        <w:t>.</w:t>
      </w:r>
    </w:p>
    <w:p w14:paraId="7FE40631" w14:textId="407937DF" w:rsidR="00F078F9" w:rsidRPr="00F078F9" w:rsidRDefault="00316B3B" w:rsidP="009039F0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5614972" w14:textId="29A2ABDE" w:rsidR="00F078F9" w:rsidRPr="00F078F9" w:rsidRDefault="00F078F9" w:rsidP="009039F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14:paraId="70E7F7A4" w14:textId="15CE4D8C" w:rsidR="00F078F9" w:rsidRPr="00F078F9" w:rsidRDefault="00316B3B" w:rsidP="00F078F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du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E1431DD" w14:textId="0579B890" w:rsidR="00F078F9" w:rsidRPr="00AD46DA" w:rsidRDefault="00F078F9" w:rsidP="00F078F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u</m:t>
          </m:r>
        </m:oMath>
      </m:oMathPara>
    </w:p>
    <w:p w14:paraId="3BF7B7FE" w14:textId="2ACFB82B" w:rsidR="00AD46DA" w:rsidRPr="00AD46DA" w:rsidRDefault="00AD46DA" w:rsidP="00F078F9">
      <w:r>
        <w:t xml:space="preserve">Substitute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</m:t>
        </m:r>
      </m:oMath>
      <w:r>
        <w:t>,</w:t>
      </w:r>
    </w:p>
    <w:p w14:paraId="60A81AF2" w14:textId="2AD4E332" w:rsidR="00F078F9" w:rsidRPr="00AD46DA" w:rsidRDefault="00F078F9" w:rsidP="009039F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14:paraId="441CAF02" w14:textId="56DE491F" w:rsidR="00F078F9" w:rsidRPr="00AD46DA" w:rsidRDefault="00F078F9" w:rsidP="009039F0">
      <w:r>
        <w:t xml:space="preserve">Limiting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0</m:t>
        </m:r>
      </m:oMath>
      <w:r w:rsidR="00AD46D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0</m:t>
        </m:r>
      </m:oMath>
      <w:r w:rsidR="00AD46DA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0</m:t>
        </m:r>
      </m:oMath>
      <w:r w:rsidR="00AD46DA">
        <w:t>,</w:t>
      </w:r>
    </w:p>
    <w:p w14:paraId="730D0DFB" w14:textId="65BDD6F3" w:rsidR="00AD46DA" w:rsidRPr="00AD46DA" w:rsidRDefault="00316B3B" w:rsidP="009039F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0543E355" w14:textId="40686AC9" w:rsidR="00AD46DA" w:rsidRPr="00AD46DA" w:rsidRDefault="00AD46DA" w:rsidP="009039F0">
      <w:r>
        <w:t xml:space="preserve">Substituting </w:t>
      </w:r>
      <m:oMath>
        <m:r>
          <w:rPr>
            <w:rFonts w:ascii="Cambria Math" w:hAnsi="Cambria Math"/>
          </w:rPr>
          <m:t>b=g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,</w:t>
      </w:r>
    </w:p>
    <w:p w14:paraId="7746FA21" w14:textId="2204367D" w:rsidR="00AD46DA" w:rsidRPr="00AD46DA" w:rsidRDefault="00316B3B" w:rsidP="009039F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A42C05A" w14:textId="41728C09" w:rsidR="00671B8F" w:rsidRDefault="00954C79" w:rsidP="00954C79">
      <w:pPr>
        <w:pStyle w:val="Heading1"/>
      </w:pPr>
      <w:r>
        <w:t>Power Rule Combined with the Chain Rule</w:t>
      </w:r>
    </w:p>
    <w:p w14:paraId="39D69C99" w14:textId="62D85CCA" w:rsidR="00954C79" w:rsidRPr="00846EC0" w:rsidRDefault="00846EC0" w:rsidP="00954C79">
      <w:r>
        <w:t xml:space="preserve">Suppose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</w:t>
      </w:r>
    </w:p>
    <w:p w14:paraId="582882D9" w14:textId="041D6184" w:rsidR="00846EC0" w:rsidRDefault="00E438BD" w:rsidP="00954C79">
      <w:r>
        <w:t xml:space="preserve">Let </w:t>
      </w:r>
      <m:oMath>
        <m:r>
          <w:rPr>
            <w:rFonts w:ascii="Cambria Math" w:hAnsi="Cambria Math"/>
          </w:rPr>
          <m:t>u=g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7632BE1F" w14:textId="599326DC" w:rsidR="00E438BD" w:rsidRPr="00E438BD" w:rsidRDefault="00316B3B" w:rsidP="00954C7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DD15701" w14:textId="73EF280E" w:rsidR="00E438BD" w:rsidRPr="00E438BD" w:rsidRDefault="00316B3B" w:rsidP="00954C7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du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13E8A406" w14:textId="38E09D18" w:rsidR="00E438BD" w:rsidRPr="00E438BD" w:rsidRDefault="00316B3B" w:rsidP="00954C7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y=n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06ED087" w14:textId="7E1887F7" w:rsidR="00E438BD" w:rsidRPr="00E438BD" w:rsidRDefault="00316B3B" w:rsidP="00954C7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y=n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E251096" w14:textId="0270CBFF" w:rsidR="00E438BD" w:rsidRDefault="00E438BD" w:rsidP="00E438BD">
      <w:pPr>
        <w:pStyle w:val="Heading1"/>
      </w:pPr>
      <w:r>
        <w:t>How Would You Answer?</w:t>
      </w:r>
    </w:p>
    <w:p w14:paraId="3C4E98C7" w14:textId="59E68A46" w:rsidR="00E438BD" w:rsidRDefault="00E438BD" w:rsidP="00E438BD">
      <w:pPr>
        <w:pStyle w:val="ListParagraph"/>
        <w:numPr>
          <w:ilvl w:val="0"/>
          <w:numId w:val="2"/>
        </w:numPr>
      </w:pPr>
      <w:r>
        <w:t>What is the chain rule?</w:t>
      </w:r>
    </w:p>
    <w:p w14:paraId="2389CA62" w14:textId="14EB3E25" w:rsidR="00E438BD" w:rsidRDefault="009039F0" w:rsidP="00E438BD">
      <w:pPr>
        <w:pStyle w:val="ListParagraph"/>
        <w:numPr>
          <w:ilvl w:val="0"/>
          <w:numId w:val="2"/>
        </w:numPr>
      </w:pPr>
      <w:r>
        <w:t>Why is the chain rule true?</w:t>
      </w:r>
    </w:p>
    <w:p w14:paraId="0D2FD41F" w14:textId="746F9136" w:rsidR="00367935" w:rsidRDefault="009039F0" w:rsidP="00367935">
      <w:pPr>
        <w:pStyle w:val="ListParagraph"/>
        <w:numPr>
          <w:ilvl w:val="0"/>
          <w:numId w:val="2"/>
        </w:numPr>
      </w:pPr>
      <w:r>
        <w:t>How can the chain rule differentiate the power of a function?</w:t>
      </w:r>
    </w:p>
    <w:p w14:paraId="7722CA36" w14:textId="514BCD34" w:rsidR="00367935" w:rsidRPr="00E438BD" w:rsidRDefault="00367935" w:rsidP="00367935">
      <w:pPr>
        <w:pStyle w:val="ListParagraph"/>
        <w:ind w:left="0"/>
      </w:pPr>
    </w:p>
    <w:sectPr w:rsidR="00367935" w:rsidRPr="00E438B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AC32C" w14:textId="77777777" w:rsidR="00316B3B" w:rsidRDefault="00316B3B" w:rsidP="00F3692D">
      <w:pPr>
        <w:spacing w:after="0" w:line="240" w:lineRule="auto"/>
      </w:pPr>
      <w:r>
        <w:separator/>
      </w:r>
    </w:p>
  </w:endnote>
  <w:endnote w:type="continuationSeparator" w:id="0">
    <w:p w14:paraId="652F9326" w14:textId="77777777" w:rsidR="00316B3B" w:rsidRDefault="00316B3B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38958" w14:textId="77777777" w:rsidR="00316B3B" w:rsidRDefault="00316B3B" w:rsidP="00F3692D">
      <w:pPr>
        <w:spacing w:after="0" w:line="240" w:lineRule="auto"/>
      </w:pPr>
      <w:r>
        <w:separator/>
      </w:r>
    </w:p>
  </w:footnote>
  <w:footnote w:type="continuationSeparator" w:id="0">
    <w:p w14:paraId="418A7AFC" w14:textId="77777777" w:rsidR="00316B3B" w:rsidRDefault="00316B3B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4BD5A" w14:textId="60FA7EE0" w:rsidR="00F3692D" w:rsidRDefault="00AD46DA">
    <w:pPr>
      <w:pStyle w:val="Header"/>
    </w:pPr>
    <w:r w:rsidRPr="00AD46DA">
      <w:rPr>
        <w:noProof/>
      </w:rPr>
      <w:drawing>
        <wp:anchor distT="0" distB="0" distL="45720" distR="45720" simplePos="0" relativeHeight="251659264" behindDoc="0" locked="0" layoutInCell="1" allowOverlap="1" wp14:anchorId="2E7623A1" wp14:editId="388EFFDC">
          <wp:simplePos x="0" y="0"/>
          <wp:positionH relativeFrom="column">
            <wp:posOffset>2169994</wp:posOffset>
          </wp:positionH>
          <wp:positionV relativeFrom="page">
            <wp:posOffset>388961</wp:posOffset>
          </wp:positionV>
          <wp:extent cx="310515" cy="310515"/>
          <wp:effectExtent l="0" t="0" r="0" b="0"/>
          <wp:wrapSquare wrapText="bothSides"/>
          <wp:docPr id="19" name="Picture 18">
            <a:extLst xmlns:a="http://schemas.openxmlformats.org/drawingml/2006/main">
              <a:ext uri="{FF2B5EF4-FFF2-40B4-BE49-F238E27FC236}">
                <a16:creationId xmlns:a16="http://schemas.microsoft.com/office/drawing/2014/main" id="{48F1BC7D-C544-490E-AAFA-9CB0F884AFD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>
                    <a:extLst>
                      <a:ext uri="{FF2B5EF4-FFF2-40B4-BE49-F238E27FC236}">
                        <a16:creationId xmlns:a16="http://schemas.microsoft.com/office/drawing/2014/main" id="{48F1BC7D-C544-490E-AAFA-9CB0F884AFD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" cy="310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Subject"/>
        <w:tag w:val=""/>
        <w:id w:val="-2097394367"/>
        <w:placeholder>
          <w:docPart w:val="DefaultPlaceholder_209865978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5160D">
          <w:t>2.</w:t>
        </w:r>
        <w:r w:rsidR="00671B8F">
          <w:t>5 Notes</w:t>
        </w:r>
      </w:sdtContent>
    </w:sdt>
    <w:r w:rsidR="00F3692D">
      <w:tab/>
    </w:r>
    <w:sdt>
      <w:sdtPr>
        <w:alias w:val="Title"/>
        <w:tag w:val=""/>
        <w:id w:val="747613977"/>
        <w:placeholder>
          <w:docPart w:val="DefaultPlaceholder_209865978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71B8F">
          <w:t>The Chain Rule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140F7"/>
    <w:multiLevelType w:val="hybridMultilevel"/>
    <w:tmpl w:val="7D14FD2C"/>
    <w:lvl w:ilvl="0" w:tplc="B09E3E10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AC"/>
    <w:rsid w:val="000203C1"/>
    <w:rsid w:val="0006179D"/>
    <w:rsid w:val="000D7A20"/>
    <w:rsid w:val="000E4F52"/>
    <w:rsid w:val="001802AC"/>
    <w:rsid w:val="001A62F1"/>
    <w:rsid w:val="001F70F3"/>
    <w:rsid w:val="002C6F72"/>
    <w:rsid w:val="002D0879"/>
    <w:rsid w:val="0031561C"/>
    <w:rsid w:val="00316B3B"/>
    <w:rsid w:val="00323D6C"/>
    <w:rsid w:val="00361CF0"/>
    <w:rsid w:val="00367935"/>
    <w:rsid w:val="0038599E"/>
    <w:rsid w:val="005B486F"/>
    <w:rsid w:val="005E23F6"/>
    <w:rsid w:val="00671B8F"/>
    <w:rsid w:val="00744FBC"/>
    <w:rsid w:val="007D57A4"/>
    <w:rsid w:val="00846EC0"/>
    <w:rsid w:val="0085160D"/>
    <w:rsid w:val="008C4EFE"/>
    <w:rsid w:val="009039F0"/>
    <w:rsid w:val="00906370"/>
    <w:rsid w:val="00921978"/>
    <w:rsid w:val="00954C79"/>
    <w:rsid w:val="00997FA0"/>
    <w:rsid w:val="009C695D"/>
    <w:rsid w:val="009F3D9C"/>
    <w:rsid w:val="00A0490E"/>
    <w:rsid w:val="00A62151"/>
    <w:rsid w:val="00AD46DA"/>
    <w:rsid w:val="00B33BB9"/>
    <w:rsid w:val="00BB0BC5"/>
    <w:rsid w:val="00C74A83"/>
    <w:rsid w:val="00C9597F"/>
    <w:rsid w:val="00E438BD"/>
    <w:rsid w:val="00E622D8"/>
    <w:rsid w:val="00E92B5D"/>
    <w:rsid w:val="00EF315D"/>
    <w:rsid w:val="00F02FB4"/>
    <w:rsid w:val="00F078F9"/>
    <w:rsid w:val="00F3692D"/>
    <w:rsid w:val="00F8407D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DF873"/>
  <w15:chartTrackingRefBased/>
  <w15:docId w15:val="{420DC6B8-533B-4350-A43E-EE5F48F8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paragraph" w:styleId="BalloonText">
    <w:name w:val="Balloon Text"/>
    <w:basedOn w:val="Normal"/>
    <w:link w:val="BalloonTextChar"/>
    <w:uiPriority w:val="99"/>
    <w:semiHidden/>
    <w:unhideWhenUsed/>
    <w:rsid w:val="00367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5AA958-6AD1-4D34-9964-F937817DB76B}" type="doc">
      <dgm:prSet loTypeId="urn:microsoft.com/office/officeart/2005/8/layout/hChevron3" loCatId="process" qsTypeId="urn:microsoft.com/office/officeart/2005/8/quickstyle/simple1" qsCatId="simple" csTypeId="urn:microsoft.com/office/officeart/2005/8/colors/accent1_1" csCatId="accent1" phldr="1"/>
      <dgm:spPr/>
    </dgm:pt>
    <dgm:pt modelId="{678A6E8A-75CA-4F2F-BB51-480DAB51F75D}">
      <dgm:prSet phldrT="[Text]" custT="1"/>
      <dgm:spPr/>
      <dgm:t>
        <a:bodyPr/>
        <a:lstStyle/>
        <a:p>
          <a:r>
            <a:rPr lang="en-US" sz="1100"/>
            <a:t>x</a:t>
          </a:r>
        </a:p>
      </dgm:t>
    </dgm:pt>
    <dgm:pt modelId="{D9619F4E-1222-424A-A0AD-A0135F5E4818}" type="parTrans" cxnId="{44B9CE81-7CC6-41DA-81FE-E87554D7816B}">
      <dgm:prSet/>
      <dgm:spPr/>
      <dgm:t>
        <a:bodyPr/>
        <a:lstStyle/>
        <a:p>
          <a:endParaRPr lang="en-US" sz="1400"/>
        </a:p>
      </dgm:t>
    </dgm:pt>
    <dgm:pt modelId="{C89F5F0D-22F1-4C72-B243-EE23C30A28A9}" type="sibTrans" cxnId="{44B9CE81-7CC6-41DA-81FE-E87554D7816B}">
      <dgm:prSet/>
      <dgm:spPr/>
      <dgm:t>
        <a:bodyPr/>
        <a:lstStyle/>
        <a:p>
          <a:endParaRPr lang="en-US" sz="1400"/>
        </a:p>
      </dgm:t>
    </dgm:pt>
    <dgm:pt modelId="{F2A8BC62-3C0B-4C1F-9CB8-A491F17B4BDC}">
      <dgm:prSet phldrT="[Text]" custT="1"/>
      <dgm:spPr/>
      <dgm:t>
        <a:bodyPr/>
        <a:lstStyle/>
        <a:p>
          <a:r>
            <a:rPr lang="en-US" sz="1100"/>
            <a:t>square</a:t>
          </a:r>
        </a:p>
      </dgm:t>
    </dgm:pt>
    <dgm:pt modelId="{A3674F30-4CC2-4A0C-B408-761AB65EF7D9}" type="parTrans" cxnId="{EF0D5481-35E9-4729-9C8B-1C6865C15A2E}">
      <dgm:prSet/>
      <dgm:spPr/>
      <dgm:t>
        <a:bodyPr/>
        <a:lstStyle/>
        <a:p>
          <a:endParaRPr lang="en-US" sz="1400"/>
        </a:p>
      </dgm:t>
    </dgm:pt>
    <dgm:pt modelId="{0A27E485-2290-470A-869E-52249C3F88D0}" type="sibTrans" cxnId="{EF0D5481-35E9-4729-9C8B-1C6865C15A2E}">
      <dgm:prSet/>
      <dgm:spPr/>
      <dgm:t>
        <a:bodyPr/>
        <a:lstStyle/>
        <a:p>
          <a:endParaRPr lang="en-US" sz="1400"/>
        </a:p>
      </dgm:t>
    </dgm:pt>
    <dgm:pt modelId="{94246ADC-001E-4FDC-8BAF-051870A36016}">
      <dgm:prSet phldrT="[Text]" custT="1"/>
      <dgm:spPr/>
      <dgm:t>
        <a:bodyPr/>
        <a:lstStyle/>
        <a:p>
          <a:r>
            <a:rPr lang="en-US" sz="1100"/>
            <a:t>add 1</a:t>
          </a:r>
        </a:p>
      </dgm:t>
    </dgm:pt>
    <dgm:pt modelId="{7F65A35B-90D8-4C28-A006-06084EB20B6D}" type="parTrans" cxnId="{7501D0E8-6FA1-406A-8644-7AF6996C8224}">
      <dgm:prSet/>
      <dgm:spPr/>
      <dgm:t>
        <a:bodyPr/>
        <a:lstStyle/>
        <a:p>
          <a:endParaRPr lang="en-US" sz="1400"/>
        </a:p>
      </dgm:t>
    </dgm:pt>
    <dgm:pt modelId="{516B45A7-3431-4ECA-81F6-CE7C57C4F987}" type="sibTrans" cxnId="{7501D0E8-6FA1-406A-8644-7AF6996C8224}">
      <dgm:prSet/>
      <dgm:spPr/>
      <dgm:t>
        <a:bodyPr/>
        <a:lstStyle/>
        <a:p>
          <a:endParaRPr lang="en-US" sz="1400"/>
        </a:p>
      </dgm:t>
    </dgm:pt>
    <dgm:pt modelId="{36FB3CE5-251B-4936-AB92-036CD15C0901}">
      <dgm:prSet phldrT="[Text]" custT="1"/>
      <dgm:spPr/>
      <dgm:t>
        <a:bodyPr/>
        <a:lstStyle/>
        <a:p>
          <a:r>
            <a:rPr lang="en-US" sz="1100"/>
            <a:t>square root</a:t>
          </a:r>
        </a:p>
      </dgm:t>
    </dgm:pt>
    <dgm:pt modelId="{249B480E-9B8B-4919-ABC8-88D4B6141AE4}" type="parTrans" cxnId="{85604010-031A-4AE2-B7A6-6CCF267F50E1}">
      <dgm:prSet/>
      <dgm:spPr/>
      <dgm:t>
        <a:bodyPr/>
        <a:lstStyle/>
        <a:p>
          <a:endParaRPr lang="en-US" sz="1400"/>
        </a:p>
      </dgm:t>
    </dgm:pt>
    <dgm:pt modelId="{E5A7F38D-7DD3-47DE-879B-48A79F561719}" type="sibTrans" cxnId="{85604010-031A-4AE2-B7A6-6CCF267F50E1}">
      <dgm:prSet/>
      <dgm:spPr/>
      <dgm:t>
        <a:bodyPr/>
        <a:lstStyle/>
        <a:p>
          <a:endParaRPr lang="en-US" sz="1400"/>
        </a:p>
      </dgm:t>
    </dgm:pt>
    <dgm:pt modelId="{E613CC7B-30CF-498B-A6CE-543D656A4C0B}" type="pres">
      <dgm:prSet presAssocID="{C15AA958-6AD1-4D34-9964-F937817DB76B}" presName="Name0" presStyleCnt="0">
        <dgm:presLayoutVars>
          <dgm:dir/>
          <dgm:resizeHandles val="exact"/>
        </dgm:presLayoutVars>
      </dgm:prSet>
      <dgm:spPr/>
    </dgm:pt>
    <dgm:pt modelId="{9D55C79C-2F31-48BE-80CB-EC07734A29EB}" type="pres">
      <dgm:prSet presAssocID="{678A6E8A-75CA-4F2F-BB51-480DAB51F75D}" presName="parTxOnly" presStyleLbl="node1" presStyleIdx="0" presStyleCnt="4">
        <dgm:presLayoutVars>
          <dgm:bulletEnabled val="1"/>
        </dgm:presLayoutVars>
      </dgm:prSet>
      <dgm:spPr/>
    </dgm:pt>
    <dgm:pt modelId="{75001E6B-B8DA-4A5D-9369-B954893E7347}" type="pres">
      <dgm:prSet presAssocID="{C89F5F0D-22F1-4C72-B243-EE23C30A28A9}" presName="parSpace" presStyleCnt="0"/>
      <dgm:spPr/>
    </dgm:pt>
    <dgm:pt modelId="{EE57D051-9AB8-411B-90AC-02902441F627}" type="pres">
      <dgm:prSet presAssocID="{F2A8BC62-3C0B-4C1F-9CB8-A491F17B4BDC}" presName="parTxOnly" presStyleLbl="node1" presStyleIdx="1" presStyleCnt="4">
        <dgm:presLayoutVars>
          <dgm:bulletEnabled val="1"/>
        </dgm:presLayoutVars>
      </dgm:prSet>
      <dgm:spPr/>
    </dgm:pt>
    <dgm:pt modelId="{5FEA733F-8B1D-42FF-9E4A-E532C50CA0F0}" type="pres">
      <dgm:prSet presAssocID="{0A27E485-2290-470A-869E-52249C3F88D0}" presName="parSpace" presStyleCnt="0"/>
      <dgm:spPr/>
    </dgm:pt>
    <dgm:pt modelId="{F4067B27-2AEF-4DF6-87DF-4465533A7555}" type="pres">
      <dgm:prSet presAssocID="{94246ADC-001E-4FDC-8BAF-051870A36016}" presName="parTxOnly" presStyleLbl="node1" presStyleIdx="2" presStyleCnt="4">
        <dgm:presLayoutVars>
          <dgm:bulletEnabled val="1"/>
        </dgm:presLayoutVars>
      </dgm:prSet>
      <dgm:spPr/>
    </dgm:pt>
    <dgm:pt modelId="{8A2ECF0B-0CFF-41BA-95C0-FED1A231DDA5}" type="pres">
      <dgm:prSet presAssocID="{516B45A7-3431-4ECA-81F6-CE7C57C4F987}" presName="parSpace" presStyleCnt="0"/>
      <dgm:spPr/>
    </dgm:pt>
    <dgm:pt modelId="{33D752FA-5F84-4FCB-8E61-52AC2D40A66F}" type="pres">
      <dgm:prSet presAssocID="{36FB3CE5-251B-4936-AB92-036CD15C0901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85604010-031A-4AE2-B7A6-6CCF267F50E1}" srcId="{C15AA958-6AD1-4D34-9964-F937817DB76B}" destId="{36FB3CE5-251B-4936-AB92-036CD15C0901}" srcOrd="3" destOrd="0" parTransId="{249B480E-9B8B-4919-ABC8-88D4B6141AE4}" sibTransId="{E5A7F38D-7DD3-47DE-879B-48A79F561719}"/>
    <dgm:cxn modelId="{D8E4022D-1150-4FD7-9759-80ACD27CCD69}" type="presOf" srcId="{C15AA958-6AD1-4D34-9964-F937817DB76B}" destId="{E613CC7B-30CF-498B-A6CE-543D656A4C0B}" srcOrd="0" destOrd="0" presId="urn:microsoft.com/office/officeart/2005/8/layout/hChevron3"/>
    <dgm:cxn modelId="{2EF7BA61-39D2-4075-9BA8-E99443B1A928}" type="presOf" srcId="{94246ADC-001E-4FDC-8BAF-051870A36016}" destId="{F4067B27-2AEF-4DF6-87DF-4465533A7555}" srcOrd="0" destOrd="0" presId="urn:microsoft.com/office/officeart/2005/8/layout/hChevron3"/>
    <dgm:cxn modelId="{F8363068-B629-4A9A-BC8B-DEFA178624D2}" type="presOf" srcId="{678A6E8A-75CA-4F2F-BB51-480DAB51F75D}" destId="{9D55C79C-2F31-48BE-80CB-EC07734A29EB}" srcOrd="0" destOrd="0" presId="urn:microsoft.com/office/officeart/2005/8/layout/hChevron3"/>
    <dgm:cxn modelId="{EF0D5481-35E9-4729-9C8B-1C6865C15A2E}" srcId="{C15AA958-6AD1-4D34-9964-F937817DB76B}" destId="{F2A8BC62-3C0B-4C1F-9CB8-A491F17B4BDC}" srcOrd="1" destOrd="0" parTransId="{A3674F30-4CC2-4A0C-B408-761AB65EF7D9}" sibTransId="{0A27E485-2290-470A-869E-52249C3F88D0}"/>
    <dgm:cxn modelId="{44B9CE81-7CC6-41DA-81FE-E87554D7816B}" srcId="{C15AA958-6AD1-4D34-9964-F937817DB76B}" destId="{678A6E8A-75CA-4F2F-BB51-480DAB51F75D}" srcOrd="0" destOrd="0" parTransId="{D9619F4E-1222-424A-A0AD-A0135F5E4818}" sibTransId="{C89F5F0D-22F1-4C72-B243-EE23C30A28A9}"/>
    <dgm:cxn modelId="{592D56C2-5D8B-4E04-A5DE-EB541B61955F}" type="presOf" srcId="{F2A8BC62-3C0B-4C1F-9CB8-A491F17B4BDC}" destId="{EE57D051-9AB8-411B-90AC-02902441F627}" srcOrd="0" destOrd="0" presId="urn:microsoft.com/office/officeart/2005/8/layout/hChevron3"/>
    <dgm:cxn modelId="{08CAA9D0-3B30-48BE-B77F-B7F03834488F}" type="presOf" srcId="{36FB3CE5-251B-4936-AB92-036CD15C0901}" destId="{33D752FA-5F84-4FCB-8E61-52AC2D40A66F}" srcOrd="0" destOrd="0" presId="urn:microsoft.com/office/officeart/2005/8/layout/hChevron3"/>
    <dgm:cxn modelId="{7501D0E8-6FA1-406A-8644-7AF6996C8224}" srcId="{C15AA958-6AD1-4D34-9964-F937817DB76B}" destId="{94246ADC-001E-4FDC-8BAF-051870A36016}" srcOrd="2" destOrd="0" parTransId="{7F65A35B-90D8-4C28-A006-06084EB20B6D}" sibTransId="{516B45A7-3431-4ECA-81F6-CE7C57C4F987}"/>
    <dgm:cxn modelId="{25B996C0-E287-4D3D-9D82-1D4B9E578E03}" type="presParOf" srcId="{E613CC7B-30CF-498B-A6CE-543D656A4C0B}" destId="{9D55C79C-2F31-48BE-80CB-EC07734A29EB}" srcOrd="0" destOrd="0" presId="urn:microsoft.com/office/officeart/2005/8/layout/hChevron3"/>
    <dgm:cxn modelId="{62CCBD88-529A-402B-97C1-D61823685C10}" type="presParOf" srcId="{E613CC7B-30CF-498B-A6CE-543D656A4C0B}" destId="{75001E6B-B8DA-4A5D-9369-B954893E7347}" srcOrd="1" destOrd="0" presId="urn:microsoft.com/office/officeart/2005/8/layout/hChevron3"/>
    <dgm:cxn modelId="{2A3ADCC3-20BF-4930-AA8D-16D0EE4DC563}" type="presParOf" srcId="{E613CC7B-30CF-498B-A6CE-543D656A4C0B}" destId="{EE57D051-9AB8-411B-90AC-02902441F627}" srcOrd="2" destOrd="0" presId="urn:microsoft.com/office/officeart/2005/8/layout/hChevron3"/>
    <dgm:cxn modelId="{38EC818D-F680-4885-AEEA-03BE7449C887}" type="presParOf" srcId="{E613CC7B-30CF-498B-A6CE-543D656A4C0B}" destId="{5FEA733F-8B1D-42FF-9E4A-E532C50CA0F0}" srcOrd="3" destOrd="0" presId="urn:microsoft.com/office/officeart/2005/8/layout/hChevron3"/>
    <dgm:cxn modelId="{426936AD-E6CE-4260-ACE5-4119D703C180}" type="presParOf" srcId="{E613CC7B-30CF-498B-A6CE-543D656A4C0B}" destId="{F4067B27-2AEF-4DF6-87DF-4465533A7555}" srcOrd="4" destOrd="0" presId="urn:microsoft.com/office/officeart/2005/8/layout/hChevron3"/>
    <dgm:cxn modelId="{BFAC1086-55A2-4D7E-BF31-D0265FC3B315}" type="presParOf" srcId="{E613CC7B-30CF-498B-A6CE-543D656A4C0B}" destId="{8A2ECF0B-0CFF-41BA-95C0-FED1A231DDA5}" srcOrd="5" destOrd="0" presId="urn:microsoft.com/office/officeart/2005/8/layout/hChevron3"/>
    <dgm:cxn modelId="{AA633CFF-9EE0-4C5C-9D24-79D1F779854C}" type="presParOf" srcId="{E613CC7B-30CF-498B-A6CE-543D656A4C0B}" destId="{33D752FA-5F84-4FCB-8E61-52AC2D40A66F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55C79C-2F31-48BE-80CB-EC07734A29EB}">
      <dsp:nvSpPr>
        <dsp:cNvPr id="0" name=""/>
        <dsp:cNvSpPr/>
      </dsp:nvSpPr>
      <dsp:spPr>
        <a:xfrm>
          <a:off x="1753" y="0"/>
          <a:ext cx="1758852" cy="255905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x</a:t>
          </a:r>
        </a:p>
      </dsp:txBody>
      <dsp:txXfrm>
        <a:off x="1753" y="0"/>
        <a:ext cx="1694876" cy="255905"/>
      </dsp:txXfrm>
    </dsp:sp>
    <dsp:sp modelId="{EE57D051-9AB8-411B-90AC-02902441F627}">
      <dsp:nvSpPr>
        <dsp:cNvPr id="0" name=""/>
        <dsp:cNvSpPr/>
      </dsp:nvSpPr>
      <dsp:spPr>
        <a:xfrm>
          <a:off x="1408835" y="0"/>
          <a:ext cx="1758852" cy="25590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square</a:t>
          </a:r>
        </a:p>
      </dsp:txBody>
      <dsp:txXfrm>
        <a:off x="1536788" y="0"/>
        <a:ext cx="1502947" cy="255905"/>
      </dsp:txXfrm>
    </dsp:sp>
    <dsp:sp modelId="{F4067B27-2AEF-4DF6-87DF-4465533A7555}">
      <dsp:nvSpPr>
        <dsp:cNvPr id="0" name=""/>
        <dsp:cNvSpPr/>
      </dsp:nvSpPr>
      <dsp:spPr>
        <a:xfrm>
          <a:off x="2815917" y="0"/>
          <a:ext cx="1758852" cy="25590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 1</a:t>
          </a:r>
        </a:p>
      </dsp:txBody>
      <dsp:txXfrm>
        <a:off x="2943870" y="0"/>
        <a:ext cx="1502947" cy="255905"/>
      </dsp:txXfrm>
    </dsp:sp>
    <dsp:sp modelId="{33D752FA-5F84-4FCB-8E61-52AC2D40A66F}">
      <dsp:nvSpPr>
        <dsp:cNvPr id="0" name=""/>
        <dsp:cNvSpPr/>
      </dsp:nvSpPr>
      <dsp:spPr>
        <a:xfrm>
          <a:off x="4222999" y="0"/>
          <a:ext cx="1758852" cy="25590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square root</a:t>
          </a:r>
        </a:p>
      </dsp:txBody>
      <dsp:txXfrm>
        <a:off x="4350952" y="0"/>
        <a:ext cx="1502947" cy="2559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9B5F4-D7C6-4A94-B5D0-28AD72F57013}"/>
      </w:docPartPr>
      <w:docPartBody>
        <w:p w:rsidR="00A13BEE" w:rsidRDefault="00D33B0D">
          <w:r w:rsidRPr="003D1B21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0D"/>
    <w:rsid w:val="002C745E"/>
    <w:rsid w:val="00A13BEE"/>
    <w:rsid w:val="00D3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B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56350-D215-4F5B-BEF7-CB390CBD6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1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Chain Rule</vt:lpstr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Chain Rule</dc:title>
  <dc:subject>2.5 Notes</dc:subject>
  <dc:creator>Isaac</dc:creator>
  <cp:keywords/>
  <dc:description/>
  <cp:lastModifiedBy>Isaac Valdez</cp:lastModifiedBy>
  <cp:revision>3</cp:revision>
  <dcterms:created xsi:type="dcterms:W3CDTF">2017-10-12T14:25:00Z</dcterms:created>
  <dcterms:modified xsi:type="dcterms:W3CDTF">2017-10-12T14:26:00Z</dcterms:modified>
</cp:coreProperties>
</file>