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3BE8" w14:textId="5C3E275B" w:rsidR="00906370" w:rsidRDefault="00DE7E3E" w:rsidP="00F833EE">
      <w:pPr>
        <w:jc w:val="both"/>
      </w:pPr>
      <w:r>
        <w:t>Functions can be dependent on other functions. As well as the</w:t>
      </w:r>
      <w:bookmarkStart w:id="0" w:name="_GoBack"/>
      <w:bookmarkEnd w:id="0"/>
      <w:r>
        <w:t xml:space="preserve">ir domain and range being related, their rates of change (derivatives) are related. This section shows </w:t>
      </w:r>
      <w:r w:rsidR="00F833EE">
        <w:t xml:space="preserve">what related rates are and </w:t>
      </w:r>
      <w:r>
        <w:t xml:space="preserve">how to </w:t>
      </w:r>
      <w:r w:rsidR="00F833EE">
        <w:t>construct related rates</w:t>
      </w:r>
      <w:r>
        <w:t>.</w:t>
      </w:r>
    </w:p>
    <w:p w14:paraId="5C2C9612" w14:textId="559805BE" w:rsidR="00DE7E3E" w:rsidRDefault="00DE7E3E" w:rsidP="00F833EE">
      <w:pPr>
        <w:pStyle w:val="Heading1"/>
        <w:jc w:val="both"/>
      </w:pPr>
      <w:r>
        <w:t>Related Rates</w:t>
      </w:r>
    </w:p>
    <w:p w14:paraId="40800140" w14:textId="15A3C3FD" w:rsidR="002A0788" w:rsidRDefault="003E074A" w:rsidP="00F833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33B1A" wp14:editId="2AA53A58">
                <wp:simplePos x="0" y="0"/>
                <wp:positionH relativeFrom="column">
                  <wp:posOffset>4261485</wp:posOffset>
                </wp:positionH>
                <wp:positionV relativeFrom="paragraph">
                  <wp:posOffset>753110</wp:posOffset>
                </wp:positionV>
                <wp:extent cx="16821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0C5A5" w14:textId="6AFA83BE" w:rsidR="003E074A" w:rsidRDefault="003E074A" w:rsidP="003E074A">
                            <w:pPr>
                              <w:pStyle w:val="Caption"/>
                              <w:jc w:val="center"/>
                            </w:pPr>
                            <w:bookmarkStart w:id="1" w:name="_Ref495994342"/>
                            <w:r>
                              <w:t xml:space="preserve">Figure </w:t>
                            </w:r>
                            <w:fldSimple w:instr=" SEQ Figure \* ARABIC ">
                              <w:r w:rsidR="00AA7F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B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5.55pt;margin-top:59.3pt;width:132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" stroked="f">
                <v:textbox style="mso-fit-shape-to-text:t" inset="0,0,0,0">
                  <w:txbxContent>
                    <w:p w14:paraId="68E0C5A5" w14:textId="6AFA83BE" w:rsidR="003E074A" w:rsidRDefault="003E074A" w:rsidP="003E074A">
                      <w:pPr>
                        <w:pStyle w:val="Caption"/>
                        <w:jc w:val="center"/>
                      </w:pPr>
                      <w:bookmarkStart w:id="2" w:name="_Ref495994342"/>
                      <w:r>
                        <w:t xml:space="preserve">Figure </w:t>
                      </w:r>
                      <w:fldSimple w:instr=" SEQ Figure \* ARABIC ">
                        <w:r w:rsidR="00AA7FEE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512894">
        <w:rPr>
          <w:noProof/>
        </w:rPr>
        <w:drawing>
          <wp:anchor distT="0" distB="0" distL="114300" distR="114300" simplePos="0" relativeHeight="251661312" behindDoc="0" locked="0" layoutInCell="1" allowOverlap="1" wp14:anchorId="0315BA4A" wp14:editId="6FFCC24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682115" cy="691515"/>
            <wp:effectExtent l="0" t="0" r="0" b="0"/>
            <wp:wrapSquare wrapText="bothSides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60610620-D23F-4627-A752-2ABECBA682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60610620-D23F-4627-A752-2ABECBA682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788" w:rsidRPr="002A0788">
        <w:rPr>
          <w:rStyle w:val="DefinitionWordChar"/>
          <w:noProof/>
        </w:rPr>
        <w:drawing>
          <wp:anchor distT="0" distB="0" distL="114300" distR="114300" simplePos="0" relativeHeight="251659264" behindDoc="0" locked="0" layoutInCell="1" allowOverlap="1" wp14:anchorId="1AAE85BE" wp14:editId="68BD54C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7805" cy="212725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788" w:rsidRPr="002A0788">
        <w:rPr>
          <w:rStyle w:val="DefinitionWordChar"/>
        </w:rPr>
        <w:t>Differential</w:t>
      </w:r>
      <w:r w:rsidR="002A0788">
        <w:t xml:space="preserve"> (</w:t>
      </w:r>
      <w:r w:rsidR="002A0788" w:rsidRPr="002A0788">
        <w:rPr>
          <w:i/>
        </w:rPr>
        <w:t>object</w:t>
      </w:r>
      <w:r w:rsidR="002A0788">
        <w:t xml:space="preserve">) – a measure of change (difference) in a variable. Examples: </w:t>
      </w:r>
      <m:oMath>
        <m:r>
          <w:rPr>
            <w:rFonts w:ascii="Cambria Math" w:hAnsi="Cambria Math"/>
          </w:rPr>
          <m:t>dx</m:t>
        </m:r>
      </m:oMath>
      <w:r w:rsidR="002A0788">
        <w:t xml:space="preserve">, </w:t>
      </w:r>
      <m:oMath>
        <m:r>
          <w:rPr>
            <w:rFonts w:ascii="Cambria Math" w:hAnsi="Cambria Math"/>
          </w:rPr>
          <m:t>dy</m:t>
        </m:r>
      </m:oMath>
      <w:r w:rsidR="002A0788">
        <w:t xml:space="preserve">, </w:t>
      </w:r>
      <m:oMath>
        <m:r>
          <w:rPr>
            <w:rFonts w:ascii="Cambria Math" w:hAnsi="Cambria Math"/>
          </w:rPr>
          <m:t>dV</m:t>
        </m:r>
      </m:oMath>
      <w:r w:rsidR="002A0788">
        <w:t>.</w:t>
      </w:r>
      <w:r w:rsidR="00512894" w:rsidRPr="00512894">
        <w:rPr>
          <w:noProof/>
        </w:rPr>
        <w:t xml:space="preserve"> </w:t>
      </w:r>
      <w:r>
        <w:rPr>
          <w:noProof/>
        </w:rPr>
        <w:t xml:space="preserve">See </w:t>
      </w:r>
      <w:r>
        <w:rPr>
          <w:noProof/>
        </w:rPr>
        <w:fldChar w:fldCharType="begin"/>
      </w:r>
      <w:r>
        <w:rPr>
          <w:noProof/>
        </w:rPr>
        <w:instrText xml:space="preserve"> REF _Ref495994342 \h </w:instrText>
      </w:r>
      <w:r w:rsidR="00F833EE">
        <w:rPr>
          <w:noProof/>
        </w:rPr>
        <w:instrText xml:space="preserve"> \* MERGEFORMAT </w:instrText>
      </w:r>
      <w:r>
        <w:rPr>
          <w:noProof/>
        </w:rPr>
      </w:r>
      <w:r>
        <w:rPr>
          <w:noProof/>
        </w:rPr>
        <w:fldChar w:fldCharType="separate"/>
      </w:r>
      <w:r w:rsidR="00AA7FEE">
        <w:t xml:space="preserve">Figure </w:t>
      </w:r>
      <w:r w:rsidR="00AA7FEE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</w:p>
    <w:p w14:paraId="03137854" w14:textId="1B9D6035" w:rsidR="00DE7E3E" w:rsidRDefault="002A0788" w:rsidP="00F833EE">
      <w:pPr>
        <w:jc w:val="both"/>
      </w:pPr>
      <w:r>
        <w:t>If two rates of change are known (they may be derived from formulas), and they share one differential, another rate of change can be identified using algebraic rules.</w:t>
      </w:r>
      <w:r w:rsidR="00852F34">
        <w:t xml:space="preserve"> “</w:t>
      </w:r>
      <w:r w:rsidR="00F833EE">
        <w:t>Related r</w:t>
      </w:r>
      <w:r w:rsidR="00852F34">
        <w:t xml:space="preserve">ates” of change </w:t>
      </w:r>
      <w:r w:rsidR="00F833EE">
        <w:t>study theses relations.</w:t>
      </w:r>
    </w:p>
    <w:p w14:paraId="1D08B998" w14:textId="4D7BDE15" w:rsidR="006C57F6" w:rsidRDefault="006C57F6" w:rsidP="00F833EE">
      <w:pPr>
        <w:jc w:val="both"/>
      </w:pPr>
      <w:r>
        <w:t>Related</w:t>
      </w:r>
      <w:r w:rsidR="00512894">
        <w:t xml:space="preserve"> rates may exist in the form of the equation below, for some variables </w:t>
      </w:r>
      <m:oMath>
        <m:r>
          <w:rPr>
            <w:rFonts w:ascii="Cambria Math" w:hAnsi="Cambria Math"/>
          </w:rPr>
          <m:t>A</m:t>
        </m:r>
      </m:oMath>
      <w:r w:rsidR="00512894">
        <w:t xml:space="preserve">, </w:t>
      </w:r>
      <m:oMath>
        <m:r>
          <w:rPr>
            <w:rFonts w:ascii="Cambria Math" w:hAnsi="Cambria Math"/>
          </w:rPr>
          <m:t>B</m:t>
        </m:r>
      </m:oMath>
      <w:r w:rsidR="00512894">
        <w:t xml:space="preserve">, and </w:t>
      </w:r>
      <m:oMath>
        <m:r>
          <w:rPr>
            <w:rFonts w:ascii="Cambria Math" w:hAnsi="Cambria Math"/>
          </w:rPr>
          <m:t>C</m:t>
        </m:r>
      </m:oMath>
      <w:r w:rsidR="00512894">
        <w:t>.</w:t>
      </w:r>
    </w:p>
    <w:p w14:paraId="58FC8423" w14:textId="2CECF852" w:rsidR="006C57F6" w:rsidRPr="006C57F6" w:rsidRDefault="00AA7FEE" w:rsidP="00F833EE">
      <w:pPr>
        <w:jc w:val="both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dA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dB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dA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dC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dC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</w:rPr>
                <m:t>dB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den>
          </m:f>
        </m:oMath>
      </m:oMathPara>
    </w:p>
    <w:p w14:paraId="755F1618" w14:textId="5F7EFFCE" w:rsidR="006C57F6" w:rsidRDefault="006C57F6" w:rsidP="00F833EE">
      <w:pPr>
        <w:jc w:val="both"/>
      </w:pPr>
      <w:r w:rsidRPr="006C57F6">
        <w:t>Cancel</w:t>
      </w:r>
      <w:r>
        <w:t xml:space="preserve">ing out the </w:t>
      </w:r>
      <m:oMath>
        <m:r>
          <w:rPr>
            <w:rFonts w:ascii="Cambria Math" w:hAnsi="Cambria Math"/>
          </w:rPr>
          <m:t>dC</m:t>
        </m:r>
      </m:oMath>
      <w:r>
        <w:t xml:space="preserve"> differential on the middle and right fractions leaves the left differential fraction.</w:t>
      </w:r>
    </w:p>
    <w:p w14:paraId="2628692A" w14:textId="3C1D18F3" w:rsidR="009070C6" w:rsidRDefault="009070C6" w:rsidP="00F833EE">
      <w:pPr>
        <w:pStyle w:val="Heading1"/>
        <w:jc w:val="both"/>
      </w:pPr>
      <w:r>
        <w:t>Strategy for Solving</w:t>
      </w:r>
    </w:p>
    <w:p w14:paraId="435305A2" w14:textId="070258DC" w:rsidR="009070C6" w:rsidRDefault="009070C6" w:rsidP="00F833EE">
      <w:pPr>
        <w:jc w:val="both"/>
      </w:pPr>
      <w:r>
        <w:t>The textbook recommends these strategies</w:t>
      </w:r>
      <w:r>
        <w:rPr>
          <w:rStyle w:val="FootnoteReference"/>
        </w:rPr>
        <w:footnoteReference w:id="1"/>
      </w:r>
      <w:r>
        <w:t xml:space="preserve"> for solving related rate word problems.</w:t>
      </w:r>
    </w:p>
    <w:p w14:paraId="5E7D593E" w14:textId="0364B4D6" w:rsidR="009070C6" w:rsidRDefault="009070C6" w:rsidP="00F833EE">
      <w:pPr>
        <w:pStyle w:val="ListParagraph"/>
        <w:numPr>
          <w:ilvl w:val="0"/>
          <w:numId w:val="2"/>
        </w:numPr>
        <w:jc w:val="both"/>
      </w:pPr>
      <w:r>
        <w:t>Read</w:t>
      </w:r>
      <w:r w:rsidR="00512894">
        <w:t xml:space="preserve"> the problem carefully.</w:t>
      </w:r>
    </w:p>
    <w:p w14:paraId="7EF7CC47" w14:textId="36C720F5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>Draw a diagram if possible.</w:t>
      </w:r>
    </w:p>
    <w:p w14:paraId="104830C5" w14:textId="5B65DDE1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>Introduce notation. Assign symbols to all quantities that are functions of time.</w:t>
      </w:r>
    </w:p>
    <w:p w14:paraId="6DFDE9DC" w14:textId="52A8A81F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>Express the given information and the required rates of change in derivatives.</w:t>
      </w:r>
    </w:p>
    <w:p w14:paraId="2B4692B7" w14:textId="1DCDCCF8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>Write an equation that relates the various quantities of the problem. If necessary, use the geometry of the situation to eliminate one of the variables by substitution.</w:t>
      </w:r>
    </w:p>
    <w:p w14:paraId="7B3D0E8C" w14:textId="04CD8F73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 xml:space="preserve">Use the Chain Rule to differentiate both sides of the equation with respect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.</w:t>
      </w:r>
    </w:p>
    <w:p w14:paraId="24F53B8F" w14:textId="39C33FD9" w:rsidR="00512894" w:rsidRDefault="00512894" w:rsidP="00F833EE">
      <w:pPr>
        <w:pStyle w:val="ListParagraph"/>
        <w:numPr>
          <w:ilvl w:val="0"/>
          <w:numId w:val="2"/>
        </w:numPr>
        <w:jc w:val="both"/>
      </w:pPr>
      <w:r>
        <w:t>Substitute the given information into the resulting equation and solve for the unknown rate.</w:t>
      </w:r>
    </w:p>
    <w:p w14:paraId="12754233" w14:textId="5B051A0E" w:rsidR="00512894" w:rsidRDefault="00512894" w:rsidP="00F833EE">
      <w:pPr>
        <w:jc w:val="both"/>
      </w:pPr>
      <w:r>
        <w:t>The following examples illustrate this process.</w:t>
      </w:r>
    </w:p>
    <w:p w14:paraId="6DC5629A" w14:textId="63FA6D20" w:rsidR="00512894" w:rsidRPr="00512894" w:rsidRDefault="00512894" w:rsidP="00F833EE">
      <w:pPr>
        <w:jc w:val="both"/>
        <w:rPr>
          <w:rStyle w:val="SubtleEmphasis"/>
        </w:rPr>
      </w:pPr>
      <w:r w:rsidRPr="00512894">
        <w:rPr>
          <w:rStyle w:val="SubtleEmphasis"/>
        </w:rPr>
        <w:t>[See 2-7 Exercises]</w:t>
      </w:r>
    </w:p>
    <w:p w14:paraId="19394C2E" w14:textId="1E5B1DE0" w:rsidR="00512894" w:rsidRDefault="00512894" w:rsidP="00F833EE">
      <w:pPr>
        <w:pStyle w:val="Heading1"/>
        <w:jc w:val="both"/>
      </w:pPr>
      <w:r>
        <w:lastRenderedPageBreak/>
        <w:t>What Did You Learn?</w:t>
      </w:r>
    </w:p>
    <w:p w14:paraId="2895D306" w14:textId="0D173CA3" w:rsidR="00512894" w:rsidRDefault="00512894" w:rsidP="00F833EE">
      <w:pPr>
        <w:pStyle w:val="ListParagraph"/>
        <w:numPr>
          <w:ilvl w:val="0"/>
          <w:numId w:val="3"/>
        </w:numPr>
        <w:jc w:val="both"/>
      </w:pPr>
      <w:r>
        <w:t>What are related rates?</w:t>
      </w:r>
    </w:p>
    <w:p w14:paraId="4F7DFF6C" w14:textId="27111ED5" w:rsidR="00512894" w:rsidRDefault="00512894" w:rsidP="00F833EE">
      <w:pPr>
        <w:pStyle w:val="ListParagraph"/>
        <w:numPr>
          <w:ilvl w:val="0"/>
          <w:numId w:val="3"/>
        </w:numPr>
        <w:jc w:val="both"/>
      </w:pPr>
      <w:r>
        <w:t>How do you relate two derivatives that share one differential?</w:t>
      </w:r>
    </w:p>
    <w:p w14:paraId="7F5BF51B" w14:textId="4C5A7BF1" w:rsidR="00512894" w:rsidRPr="00512894" w:rsidRDefault="003E074A" w:rsidP="00F833EE">
      <w:pPr>
        <w:pStyle w:val="ListParagraph"/>
        <w:numPr>
          <w:ilvl w:val="0"/>
          <w:numId w:val="3"/>
        </w:numPr>
        <w:jc w:val="both"/>
      </w:pPr>
      <w:r>
        <w:t>Why are related rates true to reality?</w:t>
      </w:r>
    </w:p>
    <w:sectPr w:rsidR="00512894" w:rsidRPr="005128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E1F7F" w14:textId="77777777" w:rsidR="00F31851" w:rsidRDefault="00F31851" w:rsidP="00F3692D">
      <w:pPr>
        <w:spacing w:after="0" w:line="240" w:lineRule="auto"/>
      </w:pPr>
      <w:r>
        <w:separator/>
      </w:r>
    </w:p>
  </w:endnote>
  <w:endnote w:type="continuationSeparator" w:id="0">
    <w:p w14:paraId="3C8C9CF0" w14:textId="77777777" w:rsidR="00F31851" w:rsidRDefault="00F31851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C65E7" w14:textId="77777777" w:rsidR="00F31851" w:rsidRDefault="00F31851" w:rsidP="00F3692D">
      <w:pPr>
        <w:spacing w:after="0" w:line="240" w:lineRule="auto"/>
      </w:pPr>
      <w:r>
        <w:separator/>
      </w:r>
    </w:p>
  </w:footnote>
  <w:footnote w:type="continuationSeparator" w:id="0">
    <w:p w14:paraId="600166F9" w14:textId="77777777" w:rsidR="00F31851" w:rsidRDefault="00F31851" w:rsidP="00F3692D">
      <w:pPr>
        <w:spacing w:after="0" w:line="240" w:lineRule="auto"/>
      </w:pPr>
      <w:r>
        <w:continuationSeparator/>
      </w:r>
    </w:p>
  </w:footnote>
  <w:footnote w:id="1">
    <w:p w14:paraId="0017A3ED" w14:textId="29B3209F" w:rsidR="009070C6" w:rsidRDefault="009070C6" w:rsidP="00B46A74">
      <w:pPr>
        <w:pStyle w:val="FootnoteText"/>
      </w:pPr>
      <w:r>
        <w:rPr>
          <w:rStyle w:val="FootnoteReference"/>
        </w:rPr>
        <w:footnoteRef/>
      </w:r>
      <w:r w:rsidR="00B46A74">
        <w:t xml:space="preserve"> </w:t>
      </w:r>
      <w:r w:rsidR="00B46A74">
        <w:fldChar w:fldCharType="begin"/>
      </w:r>
      <w:r w:rsidR="00B46A74">
        <w:instrText xml:space="preserve"> BIBLIOGRAPHY  \l 1033 </w:instrText>
      </w:r>
      <w:r w:rsidR="00B46A74">
        <w:fldChar w:fldCharType="separate"/>
      </w:r>
      <w:r w:rsidR="00B46A74">
        <w:rPr>
          <w:noProof/>
        </w:rPr>
        <w:t xml:space="preserve">Stewart, J. (2013). Essential Calculus - Early Transcendentals. In J. Stewart, </w:t>
      </w:r>
      <w:r w:rsidR="00B46A74">
        <w:rPr>
          <w:i/>
          <w:iCs/>
          <w:noProof/>
        </w:rPr>
        <w:t>Essential Calculus - Early Transcendentals</w:t>
      </w:r>
      <w:r w:rsidR="00B46A74">
        <w:rPr>
          <w:noProof/>
        </w:rPr>
        <w:t xml:space="preserve"> (p. 131). Belmont, CA: BROOKS/COLE CENGAGE Learning.</w:t>
      </w:r>
      <w:r w:rsidR="00B46A74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D222" w14:textId="3018BEE6" w:rsidR="00F3692D" w:rsidRDefault="00AA7FEE">
    <w:pPr>
      <w:pStyle w:val="Header"/>
    </w:pPr>
    <w:r w:rsidRPr="00AA7FEE">
      <w:drawing>
        <wp:anchor distT="0" distB="0" distL="18415" distR="18415" simplePos="0" relativeHeight="251658752" behindDoc="0" locked="0" layoutInCell="1" allowOverlap="1" wp14:anchorId="18FD02B7" wp14:editId="2AD469E6">
          <wp:simplePos x="0" y="0"/>
          <wp:positionH relativeFrom="column">
            <wp:posOffset>2178050</wp:posOffset>
          </wp:positionH>
          <wp:positionV relativeFrom="paragraph">
            <wp:posOffset>-69850</wp:posOffset>
          </wp:positionV>
          <wp:extent cx="329184" cy="329184"/>
          <wp:effectExtent l="0" t="0" r="0" b="0"/>
          <wp:wrapSquare wrapText="bothSides"/>
          <wp:docPr id="17" name="Picture 16">
            <a:extLst xmlns:a="http://schemas.openxmlformats.org/drawingml/2006/main">
              <a:ext uri="{FF2B5EF4-FFF2-40B4-BE49-F238E27FC236}">
                <a16:creationId xmlns:a16="http://schemas.microsoft.com/office/drawing/2014/main" id="{F25C4234-6A6C-4253-901A-B6FA0269029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>
                    <a:extLst>
                      <a:ext uri="{FF2B5EF4-FFF2-40B4-BE49-F238E27FC236}">
                        <a16:creationId xmlns:a16="http://schemas.microsoft.com/office/drawing/2014/main" id="{F25C4234-6A6C-4253-901A-B6FA0269029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9184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SUBJECT   \* MERGEFORMAT </w:instrText>
    </w:r>
    <w:r>
      <w:fldChar w:fldCharType="separate"/>
    </w:r>
    <w:r>
      <w:t>2.7 Notes</w:t>
    </w:r>
    <w:r>
      <w:fldChar w:fldCharType="end"/>
    </w:r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31851">
          <w:t>Related Rates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6CB2"/>
    <w:multiLevelType w:val="hybridMultilevel"/>
    <w:tmpl w:val="2C8A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1711"/>
    <w:multiLevelType w:val="hybridMultilevel"/>
    <w:tmpl w:val="21E6BB72"/>
    <w:lvl w:ilvl="0" w:tplc="CC3EF6F0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51"/>
    <w:rsid w:val="000203C1"/>
    <w:rsid w:val="000D7A20"/>
    <w:rsid w:val="000E4F52"/>
    <w:rsid w:val="001A62F1"/>
    <w:rsid w:val="001F70F3"/>
    <w:rsid w:val="002A0788"/>
    <w:rsid w:val="002D0879"/>
    <w:rsid w:val="0031561C"/>
    <w:rsid w:val="00323D6C"/>
    <w:rsid w:val="0038599E"/>
    <w:rsid w:val="003E074A"/>
    <w:rsid w:val="00512894"/>
    <w:rsid w:val="005B486F"/>
    <w:rsid w:val="005E23F6"/>
    <w:rsid w:val="006C57F6"/>
    <w:rsid w:val="00744FBC"/>
    <w:rsid w:val="00852F34"/>
    <w:rsid w:val="008C4EFE"/>
    <w:rsid w:val="00906370"/>
    <w:rsid w:val="009070C6"/>
    <w:rsid w:val="00921978"/>
    <w:rsid w:val="00997FA0"/>
    <w:rsid w:val="009C695D"/>
    <w:rsid w:val="009F3D9C"/>
    <w:rsid w:val="00A0490E"/>
    <w:rsid w:val="00AA7FEE"/>
    <w:rsid w:val="00B33BB9"/>
    <w:rsid w:val="00B46A74"/>
    <w:rsid w:val="00C9597F"/>
    <w:rsid w:val="00DE7E3E"/>
    <w:rsid w:val="00E622D8"/>
    <w:rsid w:val="00EF315D"/>
    <w:rsid w:val="00F31851"/>
    <w:rsid w:val="00F3692D"/>
    <w:rsid w:val="00F833EE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FB2C53"/>
  <w15:chartTrackingRefBased/>
  <w15:docId w15:val="{F06411E3-3EFC-4E27-93B2-7FAE614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paragraph" w:styleId="FootnoteText">
    <w:name w:val="footnote text"/>
    <w:basedOn w:val="Normal"/>
    <w:link w:val="FootnoteTextChar"/>
    <w:uiPriority w:val="99"/>
    <w:unhideWhenUsed/>
    <w:rsid w:val="009070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70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70C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0C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0C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0C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070C6"/>
  </w:style>
  <w:style w:type="character" w:styleId="SubtleEmphasis">
    <w:name w:val="Subtle Emphasis"/>
    <w:basedOn w:val="DefaultParagraphFont"/>
    <w:uiPriority w:val="19"/>
    <w:qFormat/>
    <w:rsid w:val="005128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BookSection</b:SourceType>
    <b:Guid>{CF48F01A-CDA7-4BEC-9A73-07D92E025E63}</b:Guid>
    <b:Year>2013</b:Year>
    <b:Pages>131</b:Pages>
    <b:Author>
      <b:BookAuthor>
        <b:NameList>
          <b:Person>
            <b:Last>Stewart</b:Last>
            <b:First>James</b:First>
          </b:Person>
        </b:NameList>
      </b:BookAuthor>
      <b:Author>
        <b:NameList>
          <b:Person>
            <b:Last>Stewart</b:Last>
            <b:First>James</b:First>
          </b:Person>
        </b:NameList>
      </b:Author>
    </b:Author>
    <b:City>Belmont, CA</b:City>
    <b:Publisher>BROOKS/COLE CENGAGE Learning</b:Publisher>
    <b:BookTitle>Essential Calculus - Early Transcendentals</b:BookTitle>
    <b:Title>Essential Calculus - Early Transcendentals</b:Title>
    <b:RefOrder>1</b:RefOrder>
  </b:Source>
</b:Sources>
</file>

<file path=customXml/itemProps1.xml><?xml version="1.0" encoding="utf-8"?>
<ds:datastoreItem xmlns:ds="http://schemas.openxmlformats.org/officeDocument/2006/customXml" ds:itemID="{3FEED97E-9D24-4551-AD6B-5E45740E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Notes.dotx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Related Rates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Related Rates</dc:title>
  <dc:subject>2.7 Notes</dc:subject>
  <dc:creator>Isaac</dc:creator>
  <cp:keywords/>
  <dc:description/>
  <cp:lastModifiedBy>Isaac Valdez</cp:lastModifiedBy>
  <cp:revision>2</cp:revision>
  <dcterms:created xsi:type="dcterms:W3CDTF">2017-10-24T14:14:00Z</dcterms:created>
  <dcterms:modified xsi:type="dcterms:W3CDTF">2017-10-24T14:14:00Z</dcterms:modified>
</cp:coreProperties>
</file>