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B738" w14:textId="77777777" w:rsidR="00906370" w:rsidRDefault="00CF345B" w:rsidP="004F112E">
      <w:pPr>
        <w:jc w:val="both"/>
      </w:pPr>
      <w:r>
        <w:t>Some limits evalua</w:t>
      </w:r>
      <w:bookmarkStart w:id="0" w:name="_GoBack"/>
      <w:bookmarkEnd w:id="0"/>
      <w:r>
        <w:t xml:space="preserve">te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These were previously said to not exist, but now, this section will teach their true nature as </w:t>
      </w:r>
      <w:r w:rsidRPr="00CF345B">
        <w:rPr>
          <w:i/>
        </w:rPr>
        <w:t>intermediate forms</w:t>
      </w:r>
      <w:r>
        <w:t xml:space="preserve">. To evaluate such, this section will also teach </w:t>
      </w:r>
      <w:r w:rsidRPr="00CF345B">
        <w:rPr>
          <w:i/>
        </w:rPr>
        <w:t>l’Hospital’s rule</w:t>
      </w:r>
      <w:r>
        <w:t>.</w:t>
      </w:r>
    </w:p>
    <w:p w14:paraId="337D9ECF" w14:textId="557A95F8" w:rsidR="00CF345B" w:rsidRDefault="00CF345B" w:rsidP="00CF345B">
      <w:pPr>
        <w:pStyle w:val="Heading1"/>
      </w:pPr>
      <w:r>
        <w:t>Intermediate Forms</w:t>
      </w:r>
    </w:p>
    <w:p w14:paraId="5AD82ADA" w14:textId="03FACAA6" w:rsidR="00D55655" w:rsidRDefault="00D55655" w:rsidP="00CA3870">
      <w:pPr>
        <w:spacing w:after="0"/>
      </w:pPr>
      <w:r w:rsidRPr="00D55655">
        <w:rPr>
          <w:rStyle w:val="DefinitionWordChar"/>
        </w:rPr>
        <w:drawing>
          <wp:anchor distT="0" distB="0" distL="45720" distR="45720" simplePos="0" relativeHeight="251650048" behindDoc="0" locked="0" layoutInCell="1" allowOverlap="1" wp14:anchorId="42866821" wp14:editId="3F088EE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655">
        <w:rPr>
          <w:rStyle w:val="DefinitionWordChar"/>
        </w:rPr>
        <w:t>Intermediate form</w:t>
      </w:r>
      <w:r>
        <w:t xml:space="preserve"> </w:t>
      </w:r>
      <w:r w:rsidRPr="00D55655">
        <w:rPr>
          <w:rStyle w:val="SubtleEmphasis"/>
        </w:rPr>
        <w:t>(object)</w:t>
      </w:r>
      <w:r>
        <w:t xml:space="preserve"> – an </w:t>
      </w:r>
      <w:r w:rsidR="00900DC1">
        <w:t>expression inside of a limit</w:t>
      </w:r>
      <w:r>
        <w:t xml:space="preserve"> that multiple rules derive different values for, such that it may or may not exist.</w:t>
      </w:r>
    </w:p>
    <w:p w14:paraId="1ACEAA84" w14:textId="0D46D4F9" w:rsidR="00900DC1" w:rsidRDefault="00900DC1" w:rsidP="00900DC1">
      <w:pPr>
        <w:pStyle w:val="ListParagraph"/>
        <w:numPr>
          <w:ilvl w:val="0"/>
          <w:numId w:val="4"/>
        </w:numPr>
      </w:pPr>
      <w:r>
        <w:t xml:space="preserve">Only </w:t>
      </w:r>
      <w:r w:rsidR="00CA3870">
        <w:t>exist inside of limits</w:t>
      </w:r>
    </w:p>
    <w:p w14:paraId="71651C50" w14:textId="34B8BD2D" w:rsidR="00900DC1" w:rsidRDefault="00900DC1" w:rsidP="00900DC1">
      <w:pPr>
        <w:pStyle w:val="ListParagraph"/>
        <w:numPr>
          <w:ilvl w:val="0"/>
          <w:numId w:val="4"/>
        </w:numPr>
      </w:pPr>
      <w:r>
        <w:t>Must be converted to an intermediate quotient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520"/>
        <w:gridCol w:w="2430"/>
        <w:gridCol w:w="4410"/>
      </w:tblGrid>
      <w:tr w:rsidR="00900DC1" w14:paraId="773BF4A5" w14:textId="5A080CA3" w:rsidTr="0090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6D5D65" w14:textId="16762BD9" w:rsidR="00900DC1" w:rsidRPr="00900DC1" w:rsidRDefault="00900DC1" w:rsidP="00CA3870">
            <w:pPr>
              <w:rPr>
                <w:b/>
              </w:rPr>
            </w:pPr>
            <w:r w:rsidRPr="00900DC1">
              <w:rPr>
                <w:b/>
              </w:rPr>
              <w:t>Intermediate Form</w:t>
            </w:r>
          </w:p>
        </w:tc>
        <w:tc>
          <w:tcPr>
            <w:tcW w:w="2430" w:type="dxa"/>
          </w:tcPr>
          <w:p w14:paraId="5AA496D9" w14:textId="1FA95A99" w:rsidR="00900DC1" w:rsidRPr="00900DC1" w:rsidRDefault="00900DC1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0DC1">
              <w:rPr>
                <w:b/>
              </w:rPr>
              <w:t>Expression</w:t>
            </w:r>
          </w:p>
        </w:tc>
        <w:tc>
          <w:tcPr>
            <w:tcW w:w="4410" w:type="dxa"/>
          </w:tcPr>
          <w:p w14:paraId="01D9BEDB" w14:textId="36F00D4A" w:rsidR="00900DC1" w:rsidRPr="00900DC1" w:rsidRDefault="00900DC1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 convert to an intermediate quotient…</w:t>
            </w:r>
          </w:p>
        </w:tc>
      </w:tr>
      <w:tr w:rsidR="00900DC1" w14:paraId="7FECEB95" w14:textId="3AF2AD1B" w:rsidTr="0090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2255AC5" w14:textId="7D65C29C" w:rsidR="00900DC1" w:rsidRDefault="00900DC1" w:rsidP="00CA3870">
            <w:r>
              <w:t>Q</w:t>
            </w:r>
            <w:r>
              <w:t>uotie</w:t>
            </w:r>
            <w:r>
              <w:t>nts (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g</m:t>
              </m:r>
            </m:oMath>
            <w:r>
              <w:t>)</w:t>
            </w:r>
          </w:p>
        </w:tc>
        <w:tc>
          <w:tcPr>
            <w:tcW w:w="2430" w:type="dxa"/>
          </w:tcPr>
          <w:p w14:paraId="7E182914" w14:textId="7553801D" w:rsidR="00900DC1" w:rsidRDefault="00900DC1" w:rsidP="00CA3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0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0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∞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∞</m:t>
              </m:r>
            </m:oMath>
          </w:p>
        </w:tc>
        <w:tc>
          <w:tcPr>
            <w:tcW w:w="4410" w:type="dxa"/>
          </w:tcPr>
          <w:p w14:paraId="0AE7A553" w14:textId="7067A468" w:rsidR="00900DC1" w:rsidRPr="00900DC1" w:rsidRDefault="004F112E" w:rsidP="00CA3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(already is an</w:t>
            </w:r>
            <w:r w:rsidR="00900DC1" w:rsidRPr="00900DC1">
              <w:rPr>
                <w:rStyle w:val="SubtleEmphasis"/>
              </w:rPr>
              <w:t xml:space="preserve"> intermediate </w:t>
            </w:r>
            <w:r>
              <w:rPr>
                <w:rStyle w:val="SubtleEmphasis"/>
              </w:rPr>
              <w:t>quotient</w:t>
            </w:r>
            <w:r w:rsidR="00900DC1" w:rsidRPr="00900DC1">
              <w:rPr>
                <w:rStyle w:val="SubtleEmphasis"/>
              </w:rPr>
              <w:t>)</w:t>
            </w:r>
          </w:p>
        </w:tc>
      </w:tr>
      <w:tr w:rsidR="00900DC1" w14:paraId="6D14E8DB" w14:textId="29B5C062" w:rsidTr="0090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F16B521" w14:textId="0F70F217" w:rsidR="00900DC1" w:rsidRDefault="00900DC1" w:rsidP="00CA3870">
            <w:r>
              <w:t>Products (</w:t>
            </w:r>
            <m:oMath>
              <m:r>
                <w:rPr>
                  <w:rFonts w:ascii="Cambria Math" w:hAnsi="Cambria Math"/>
                </w:rPr>
                <m:t>fg</m:t>
              </m:r>
            </m:oMath>
            <w:r>
              <w:t>)</w:t>
            </w:r>
          </w:p>
        </w:tc>
        <w:tc>
          <w:tcPr>
            <w:tcW w:w="2430" w:type="dxa"/>
          </w:tcPr>
          <w:p w14:paraId="652F9285" w14:textId="4671D97F" w:rsidR="00900DC1" w:rsidRPr="00CA3870" w:rsidRDefault="00900DC1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0∙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410" w:type="dxa"/>
          </w:tcPr>
          <w:p w14:paraId="3CA2435F" w14:textId="79D275E5" w:rsidR="00900DC1" w:rsidRPr="00900DC1" w:rsidRDefault="004F112E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</w:rPr>
                  <m:t>fg=f</m:t>
                </m:r>
                <m:r>
                  <m:rPr>
                    <m:lit/>
                  </m:rPr>
                  <w:rPr>
                    <w:rFonts w:ascii="Cambria Math" w:eastAsia="Yu Mincho" w:hAnsi="Cambria Math" w:cs="Times New Roman"/>
                  </w:rPr>
                  <m:t>/</m:t>
                </m:r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Yu Mincho" w:hAnsi="Cambria Math" w:cs="Times New Roman"/>
                      </w:rPr>
                      <m:t>/</m:t>
                    </m:r>
                    <m:r>
                      <w:rPr>
                        <w:rFonts w:ascii="Cambria Math" w:eastAsia="Yu Mincho" w:hAnsi="Cambria Math" w:cs="Times New Roman"/>
                      </w:rPr>
                      <m:t>g</m:t>
                    </m:r>
                  </m:e>
                </m:d>
              </m:oMath>
            </m:oMathPara>
          </w:p>
        </w:tc>
      </w:tr>
      <w:tr w:rsidR="00900DC1" w14:paraId="3A1263B1" w14:textId="17B69263" w:rsidTr="0090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361304" w14:textId="083CAB6E" w:rsidR="00900DC1" w:rsidRDefault="00900DC1" w:rsidP="00CA3870">
            <w:r>
              <w:t>Differences (</w:t>
            </w:r>
            <m:oMath>
              <m:r>
                <w:rPr>
                  <w:rFonts w:ascii="Cambria Math" w:hAnsi="Cambria Math"/>
                </w:rPr>
                <m:t>f-g</m:t>
              </m:r>
            </m:oMath>
            <w:r>
              <w:t>)</w:t>
            </w:r>
          </w:p>
        </w:tc>
        <w:tc>
          <w:tcPr>
            <w:tcW w:w="2430" w:type="dxa"/>
          </w:tcPr>
          <w:p w14:paraId="73846B39" w14:textId="69BEAAD0" w:rsidR="00900DC1" w:rsidRPr="00900DC1" w:rsidRDefault="00900DC1" w:rsidP="00CA3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∞-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410" w:type="dxa"/>
          </w:tcPr>
          <w:p w14:paraId="521A9610" w14:textId="12ED40FD" w:rsidR="00900DC1" w:rsidRDefault="00900DC1" w:rsidP="00CA3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Use a common denominator</w:t>
            </w:r>
          </w:p>
        </w:tc>
      </w:tr>
      <w:tr w:rsidR="00900DC1" w14:paraId="0094547A" w14:textId="79745BE7" w:rsidTr="0090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E874C0C" w14:textId="66B3DF0F" w:rsidR="00900DC1" w:rsidRDefault="00900DC1" w:rsidP="00CA3870">
            <w:r>
              <w:t>Powers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</m:oMath>
            <w:r>
              <w:t>)</w:t>
            </w:r>
          </w:p>
        </w:tc>
        <w:tc>
          <w:tcPr>
            <w:tcW w:w="2430" w:type="dxa"/>
          </w:tcPr>
          <w:p w14:paraId="577D64E4" w14:textId="47CA4C7C" w:rsidR="00900DC1" w:rsidRDefault="00900DC1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 xml:space="preserve"> 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 xml:space="preserve"> 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oMath>
          </w:p>
        </w:tc>
        <w:tc>
          <w:tcPr>
            <w:tcW w:w="4410" w:type="dxa"/>
          </w:tcPr>
          <w:p w14:paraId="7FF696DD" w14:textId="626BD51B" w:rsidR="00900DC1" w:rsidRDefault="004F112E" w:rsidP="00CA3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If </w:t>
            </w:r>
            <m:oMath>
              <m:r>
                <w:rPr>
                  <w:rFonts w:ascii="Cambria Math" w:eastAsia="Yu Mincho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Yu Mincho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Yu Mincho" w:hAnsi="Cambria Math" w:cs="Times New Roman"/>
                    </w:rPr>
                    <m:t>g</m:t>
                  </m:r>
                </m:sup>
              </m:sSup>
            </m:oMath>
            <w:r>
              <w:rPr>
                <w:rFonts w:ascii="Calibri" w:eastAsia="Yu Mincho" w:hAnsi="Calibri" w:cs="Times New Roman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="Yu Mincho" w:hAnsi="Cambria Math" w:cs="Times New Roman"/>
                    </w:rPr>
                  </m:ctrlPr>
                </m:funcPr>
                <m:fName>
                  <m:r>
                    <w:rPr>
                      <w:rFonts w:ascii="Cambria Math" w:eastAsia="Yu Mincho" w:hAnsi="Cambria Math" w:cs="Times New Roman"/>
                    </w:rPr>
                    <m:t>ln</m:t>
                  </m:r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Yu Mincho" w:hAnsi="Cambria Math" w:cs="Times New Roman"/>
                    </w:rPr>
                    <m:t>y</m:t>
                  </m:r>
                </m:e>
              </m:func>
              <m:r>
                <w:rPr>
                  <w:rFonts w:ascii="Cambria Math" w:eastAsia="Yu Mincho" w:hAnsi="Cambria Math" w:cs="Times New Roman"/>
                </w:rPr>
                <m:t>=g</m:t>
              </m:r>
              <m:func>
                <m:funcPr>
                  <m:ctrlPr>
                    <w:rPr>
                      <w:rFonts w:ascii="Cambria Math" w:eastAsia="Yu Mincho" w:hAnsi="Cambria Math" w:cs="Times New Roman"/>
                    </w:rPr>
                  </m:ctrlPr>
                </m:funcPr>
                <m:fName>
                  <m:r>
                    <w:rPr>
                      <w:rFonts w:ascii="Cambria Math" w:eastAsia="Yu Mincho" w:hAnsi="Cambria Math" w:cs="Times New Roman"/>
                    </w:rPr>
                    <m:t>ln</m:t>
                  </m:r>
                  <m:ctrlPr>
                    <w:rPr>
                      <w:rFonts w:ascii="Cambria Math" w:eastAsia="Yu Mincho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Yu Mincho" w:hAnsi="Cambria Math" w:cs="Times New Roman"/>
                    </w:rPr>
                    <m:t>f</m:t>
                  </m:r>
                </m:e>
              </m:func>
            </m:oMath>
          </w:p>
        </w:tc>
      </w:tr>
    </w:tbl>
    <w:p w14:paraId="0B5B5458" w14:textId="5D5E573B" w:rsidR="00CF345B" w:rsidRDefault="00CF345B" w:rsidP="00CF345B">
      <w:pPr>
        <w:pStyle w:val="Heading1"/>
      </w:pPr>
      <w:r>
        <w:t>L’Hospital’s Rule</w:t>
      </w:r>
    </w:p>
    <w:p w14:paraId="608A6C21" w14:textId="4F2F07AB" w:rsidR="00900DC1" w:rsidRDefault="00900DC1" w:rsidP="004F112E">
      <w:pPr>
        <w:spacing w:after="0"/>
      </w:pPr>
      <w:r w:rsidRPr="00900DC1">
        <w:rPr>
          <w:rStyle w:val="DefinitionWordChar"/>
        </w:rPr>
        <w:drawing>
          <wp:anchor distT="0" distB="0" distL="45720" distR="45720" simplePos="0" relativeHeight="251664384" behindDoc="0" locked="0" layoutInCell="1" allowOverlap="1" wp14:anchorId="322B2388" wp14:editId="3F495BD5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10312" cy="210312"/>
            <wp:effectExtent l="0" t="0" r="0" b="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DC1">
        <w:rPr>
          <w:rStyle w:val="DefinitionWordChar"/>
        </w:rPr>
        <w:t>L’Hospital’s rule</w:t>
      </w:r>
      <w:r>
        <w:t xml:space="preserve"> </w:t>
      </w:r>
      <w:r w:rsidRPr="00900DC1">
        <w:rPr>
          <w:rStyle w:val="SubtleEmphasis"/>
        </w:rPr>
        <w:t>(method)</w:t>
      </w:r>
      <w:r>
        <w:t xml:space="preserve"> – the method of evaluating intermediate forms by converting them to a fraction of derivatives.</w:t>
      </w:r>
    </w:p>
    <w:p w14:paraId="5A460A81" w14:textId="118F3741" w:rsidR="004F112E" w:rsidRDefault="004F112E" w:rsidP="004F112E">
      <w:pPr>
        <w:pStyle w:val="ListParagraph"/>
        <w:numPr>
          <w:ilvl w:val="0"/>
          <w:numId w:val="5"/>
        </w:numPr>
      </w:pPr>
      <w:r>
        <w:t>Convert the intermediate form to a quotient intermediate form.</w:t>
      </w:r>
    </w:p>
    <w:p w14:paraId="3E478647" w14:textId="3245EC5B" w:rsidR="004F112E" w:rsidRDefault="004F112E" w:rsidP="004F112E">
      <w:pPr>
        <w:pStyle w:val="ListParagraph"/>
        <w:numPr>
          <w:ilvl w:val="0"/>
          <w:numId w:val="5"/>
        </w:numPr>
      </w:pPr>
      <w:r>
        <w:t xml:space="preserve">If the quotient equals </w:t>
      </w:r>
      <m:oMath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0</m:t>
        </m:r>
      </m:oMath>
      <w:r>
        <w:t xml:space="preserve"> or </w:t>
      </w:r>
      <m:oMath>
        <m:r>
          <w:rPr>
            <w:rFonts w:ascii="Cambria Math" w:hAnsi="Cambria Math"/>
          </w:rPr>
          <m:t>±∞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∞</m:t>
        </m:r>
      </m:oMath>
      <w:r>
        <w:t>, continue.</w:t>
      </w:r>
    </w:p>
    <w:p w14:paraId="3F891F03" w14:textId="5EFF93A9" w:rsidR="004F112E" w:rsidRDefault="004F112E" w:rsidP="004F112E">
      <w:pPr>
        <w:pStyle w:val="ListParagraph"/>
        <w:numPr>
          <w:ilvl w:val="0"/>
          <w:numId w:val="5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>.</w:t>
      </w:r>
    </w:p>
    <w:p w14:paraId="6A42D20A" w14:textId="757C4632" w:rsidR="00900DC1" w:rsidRDefault="00900DC1" w:rsidP="00900DC1">
      <w:r w:rsidRPr="00900DC1">
        <w:drawing>
          <wp:anchor distT="0" distB="0" distL="45720" distR="45720" simplePos="0" relativeHeight="251668480" behindDoc="0" locked="0" layoutInCell="1" allowOverlap="1" wp14:anchorId="4ACE9243" wp14:editId="4199219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744" cy="201168"/>
            <wp:effectExtent l="0" t="0" r="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DFFC97B-E475-4E57-93C4-0AB623CFF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DFFC97B-E475-4E57-93C4-0AB623CFF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0DC1">
        <w:rPr>
          <w:rStyle w:val="RememberChar"/>
          <w:b/>
        </w:rPr>
        <w:t>Warning</w:t>
      </w:r>
      <w:r>
        <w:t>: L’Hospital’s rule only works on intermediate forms. It may not get correct answers elsewhere. Do not apply it to expressions that are not intermediate forms.</w:t>
      </w:r>
    </w:p>
    <w:p w14:paraId="7A4DFED5" w14:textId="1E2EE95F" w:rsidR="00900DC1" w:rsidRDefault="00900DC1" w:rsidP="00900DC1">
      <w:pPr>
        <w:pStyle w:val="Heading1"/>
      </w:pPr>
      <w:r>
        <w:t>What Did You Learn?</w:t>
      </w:r>
    </w:p>
    <w:p w14:paraId="08BBA6F9" w14:textId="41938F3A" w:rsidR="004F112E" w:rsidRDefault="004F112E" w:rsidP="004F112E">
      <w:pPr>
        <w:pStyle w:val="ListParagraph"/>
        <w:numPr>
          <w:ilvl w:val="0"/>
          <w:numId w:val="6"/>
        </w:numPr>
      </w:pPr>
      <w:r>
        <w:t>What is an intermediate form? How are all intermediate forms convertible to quotients?</w:t>
      </w:r>
    </w:p>
    <w:p w14:paraId="54EA82C7" w14:textId="380BC8A5" w:rsidR="004F112E" w:rsidRDefault="004F112E" w:rsidP="004F112E">
      <w:pPr>
        <w:pStyle w:val="ListParagraph"/>
        <w:numPr>
          <w:ilvl w:val="0"/>
          <w:numId w:val="6"/>
        </w:numPr>
      </w:pPr>
      <w:r>
        <w:t>What is l’Hospital’s rule? What does it do? How does it work?</w:t>
      </w:r>
    </w:p>
    <w:p w14:paraId="371D218E" w14:textId="59D1255E" w:rsidR="004F112E" w:rsidRPr="004F112E" w:rsidRDefault="004F112E" w:rsidP="004F112E">
      <w:pPr>
        <w:pStyle w:val="ListParagraph"/>
        <w:numPr>
          <w:ilvl w:val="0"/>
          <w:numId w:val="6"/>
        </w:numPr>
      </w:pPr>
      <w:r>
        <w:t xml:space="preserve">How can intermediate forms be combined? What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?</w:t>
      </w:r>
    </w:p>
    <w:sectPr w:rsidR="004F112E" w:rsidRPr="004F1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2744B" w14:textId="77777777" w:rsidR="002B2679" w:rsidRDefault="002B2679" w:rsidP="00F3692D">
      <w:pPr>
        <w:spacing w:after="0" w:line="240" w:lineRule="auto"/>
      </w:pPr>
      <w:r>
        <w:separator/>
      </w:r>
    </w:p>
  </w:endnote>
  <w:endnote w:type="continuationSeparator" w:id="0">
    <w:p w14:paraId="054BB82E" w14:textId="77777777" w:rsidR="002B2679" w:rsidRDefault="002B2679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2E951" w14:textId="77777777" w:rsidR="002B2679" w:rsidRDefault="002B2679" w:rsidP="00F3692D">
      <w:pPr>
        <w:spacing w:after="0" w:line="240" w:lineRule="auto"/>
      </w:pPr>
      <w:r>
        <w:separator/>
      </w:r>
    </w:p>
  </w:footnote>
  <w:footnote w:type="continuationSeparator" w:id="0">
    <w:p w14:paraId="53117E0E" w14:textId="77777777" w:rsidR="002B2679" w:rsidRDefault="002B2679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890DB" w14:textId="7D824839" w:rsidR="00F3692D" w:rsidRDefault="00831C79">
    <w:pPr>
      <w:pStyle w:val="Header"/>
    </w:pPr>
    <w:r w:rsidRPr="00831C79">
      <w:drawing>
        <wp:anchor distT="0" distB="0" distL="114300" distR="114300" simplePos="0" relativeHeight="251653120" behindDoc="0" locked="0" layoutInCell="1" allowOverlap="1" wp14:anchorId="4A7430AB" wp14:editId="440DE9A0">
          <wp:simplePos x="0" y="0"/>
          <wp:positionH relativeFrom="column">
            <wp:posOffset>1409700</wp:posOffset>
          </wp:positionH>
          <wp:positionV relativeFrom="paragraph">
            <wp:posOffset>-69850</wp:posOffset>
          </wp:positionV>
          <wp:extent cx="342900" cy="343535"/>
          <wp:effectExtent l="0" t="0" r="0" b="0"/>
          <wp:wrapNone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3733EA42-1601-4A72-9936-6ED07333C30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3733EA42-1601-4A72-9936-6ED07333C30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343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fldSimple w:instr=" SUBJECT   \* MERGEFORMAT ">
      <w:r w:rsidR="003102EB">
        <w:t>3.7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2679">
          <w:t>Intermediate Forms and l’Hospital’s Rule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C88"/>
    <w:multiLevelType w:val="hybridMultilevel"/>
    <w:tmpl w:val="35406548"/>
    <w:lvl w:ilvl="0" w:tplc="56A6ADCE">
      <w:start w:val="1"/>
      <w:numFmt w:val="bullet"/>
      <w:lvlText w:val="!"/>
      <w:lvlJc w:val="left"/>
      <w:pPr>
        <w:ind w:left="216" w:hanging="21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7CC4"/>
    <w:multiLevelType w:val="hybridMultilevel"/>
    <w:tmpl w:val="5B94BC22"/>
    <w:lvl w:ilvl="0" w:tplc="48928F20">
      <w:start w:val="1"/>
      <w:numFmt w:val="bullet"/>
      <w:lvlText w:val="?"/>
      <w:lvlJc w:val="left"/>
      <w:pPr>
        <w:ind w:left="216" w:hanging="216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7370"/>
    <w:multiLevelType w:val="hybridMultilevel"/>
    <w:tmpl w:val="54C2F2DA"/>
    <w:lvl w:ilvl="0" w:tplc="6CB4A51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4A5C"/>
    <w:multiLevelType w:val="hybridMultilevel"/>
    <w:tmpl w:val="18E6B62A"/>
    <w:lvl w:ilvl="0" w:tplc="E144AF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77898"/>
    <w:multiLevelType w:val="hybridMultilevel"/>
    <w:tmpl w:val="F7AE70E0"/>
    <w:lvl w:ilvl="0" w:tplc="890E87B6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79"/>
    <w:rsid w:val="000203C1"/>
    <w:rsid w:val="000D7A20"/>
    <w:rsid w:val="000E4F52"/>
    <w:rsid w:val="0011510E"/>
    <w:rsid w:val="001A62F1"/>
    <w:rsid w:val="001F70F3"/>
    <w:rsid w:val="002B2679"/>
    <w:rsid w:val="002D0879"/>
    <w:rsid w:val="003102EB"/>
    <w:rsid w:val="0031561C"/>
    <w:rsid w:val="00323D6C"/>
    <w:rsid w:val="0038599E"/>
    <w:rsid w:val="004F112E"/>
    <w:rsid w:val="005B486F"/>
    <w:rsid w:val="005E23F6"/>
    <w:rsid w:val="00744FBC"/>
    <w:rsid w:val="00831C79"/>
    <w:rsid w:val="008C4EFE"/>
    <w:rsid w:val="00900DC1"/>
    <w:rsid w:val="00906370"/>
    <w:rsid w:val="00921978"/>
    <w:rsid w:val="00997FA0"/>
    <w:rsid w:val="009C695D"/>
    <w:rsid w:val="009F3D9C"/>
    <w:rsid w:val="00A0490E"/>
    <w:rsid w:val="00B33BB9"/>
    <w:rsid w:val="00C9597F"/>
    <w:rsid w:val="00CA3870"/>
    <w:rsid w:val="00CF345B"/>
    <w:rsid w:val="00D55655"/>
    <w:rsid w:val="00E622D8"/>
    <w:rsid w:val="00EE6A67"/>
    <w:rsid w:val="00EF315D"/>
    <w:rsid w:val="00F3692D"/>
    <w:rsid w:val="00F4715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E7F4F7"/>
  <w15:chartTrackingRefBased/>
  <w15:docId w15:val="{8E25C417-DBC9-4B1A-9DC0-A9899B0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character" w:styleId="SubtleEmphasis">
    <w:name w:val="Subtle Emphasis"/>
    <w:basedOn w:val="DefaultParagraphFont"/>
    <w:uiPriority w:val="19"/>
    <w:qFormat/>
    <w:rsid w:val="00D55655"/>
    <w:rPr>
      <w:i/>
      <w:iCs/>
      <w:color w:val="404040" w:themeColor="text1" w:themeTint="BF"/>
    </w:rPr>
  </w:style>
  <w:style w:type="table" w:customStyle="1" w:styleId="CalcTable">
    <w:name w:val="CalcTable"/>
    <w:basedOn w:val="TableNormal"/>
    <w:uiPriority w:val="99"/>
    <w:rsid w:val="00CA3870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3"/>
    <w:rsid w:val="001F54F4"/>
    <w:rsid w:val="009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4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6AF8D-0873-4B14-90C1-823C9292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Forms and l’Hospital’s Rule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Forms and l’Hospital’s Rule</dc:title>
  <dc:subject>3.7 Notes</dc:subject>
  <dc:creator>Isaac</dc:creator>
  <cp:keywords/>
  <dc:description/>
  <cp:lastModifiedBy>Isaac Valdez</cp:lastModifiedBy>
  <cp:revision>2</cp:revision>
  <dcterms:created xsi:type="dcterms:W3CDTF">2017-11-16T15:30:00Z</dcterms:created>
  <dcterms:modified xsi:type="dcterms:W3CDTF">2017-11-16T15:30:00Z</dcterms:modified>
</cp:coreProperties>
</file>