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</w:pPr>
      <w:r>
        <w:rPr>
          <w:rFonts w:ascii="Noto Sans CJK SC" w:hAnsi="Noto Sans CJK SC" w:eastAsia="Noto Sans CJK SC"/>
          <w:b/>
          <w:color w:val="C28A00"/>
          <w:sz w:val="20"/>
        </w:rPr>
        <w:t>BUSINESS PLANNING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63A5F"/>
          <w:sz w:val="56"/>
        </w:rPr>
        <w:t>기업고객 분석 및</w:t>
        <w:br/>
        <w:t>추천시스템 기획서</w:t>
      </w:r>
    </w:p>
    <w:p>
      <w:pPr>
        <w:spacing w:after="480"/>
      </w:pPr>
      <w:r>
        <w:rPr>
          <w:rFonts w:ascii="Noto Sans CJK SC" w:hAnsi="Noto Sans CJK SC" w:eastAsia="Noto Sans CJK SC"/>
          <w:color w:val="64748B"/>
          <w:sz w:val="26"/>
        </w:rPr>
        <w:t>박람회 기반 고객 발굴 · Company 360 분석 · 우선순위 추천 · 미팅 일정 최적화</w:t>
      </w:r>
    </w:p>
    <w:p>
      <w:pPr>
        <w:spacing w:before="80" w:after="180" w:line="269" w:lineRule="auto"/>
        <w:ind w:left="173" w:right="86"/>
        <w:shd w:fill="E7F3F2"/>
        <w:pBdr>
          <w:left w:val="single" w:sz="18" w:space="8" w:color="1B7F79"/>
        </w:pBdr>
      </w:pPr>
      <w:r>
        <w:rPr>
          <w:rFonts w:ascii="Noto Sans CJK SC" w:hAnsi="Noto Sans CJK SC" w:eastAsia="Noto Sans CJK SC"/>
          <w:b/>
          <w:color w:val="1B7F79"/>
          <w:sz w:val="21"/>
        </w:rPr>
        <w:t xml:space="preserve">핵심 질문  </w:t>
      </w:r>
      <w:r>
        <w:rPr>
          <w:rFonts w:ascii="Noto Sans CJK SC" w:hAnsi="Noto Sans CJK SC" w:eastAsia="Noto Sans CJK SC"/>
          <w:color w:val="1F2937"/>
          <w:sz w:val="21"/>
        </w:rPr>
        <w:t>“#월 #일 A박람회에 가는데, 주요하게 봐야 할 고객을 발굴하고 세션과 동선을 고려해 일정을 수립해줘.”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before="20" w:after="2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구분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before="20" w:after="2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63A5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문서 목적</w:t>
            </w:r>
          </w:p>
        </w:tc>
        <w:tc>
          <w:tcPr>
            <w:tcW w:type="dxa" w:w="7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PoC 의사결정 및 구현 착수 기준 제시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대상 조직</w:t>
            </w:r>
          </w:p>
        </w:tc>
        <w:tc>
          <w:tcPr>
            <w:tcW w:type="dxa" w:w="7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Sales본부 · 마케팅/수주전략 · 기술영업 · 사업개발 · R&amp;D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적용 산업</w:t>
            </w:r>
          </w:p>
        </w:tc>
        <w:tc>
          <w:tcPr>
            <w:tcW w:type="dxa" w:w="7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배터리/EV 중심 B2B 제조업; 타 산업으로 확장 가능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버전/일자</w:t>
            </w:r>
          </w:p>
        </w:tc>
        <w:tc>
          <w:tcPr>
            <w:tcW w:type="dxa" w:w="7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Draft v1.0  |  2026.08.10</w:t>
            </w:r>
          </w:p>
        </w:tc>
      </w:tr>
    </w:tbl>
    <w:p>
      <w:pPr>
        <w:spacing w:after="40"/>
      </w:pPr>
    </w:p>
    <w:p>
      <w:pPr>
        <w:spacing w:before="520"/>
        <w:jc w:val="right"/>
      </w:pPr>
      <w:r>
        <w:rPr>
          <w:rFonts w:ascii="Noto Sans CJK SC" w:hAnsi="Noto Sans CJK SC" w:eastAsia="Noto Sans CJK SC"/>
          <w:b/>
          <w:color w:val="2E74B5"/>
          <w:sz w:val="22"/>
        </w:rPr>
        <w:t>가칭  B2B Opportunity Navigator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1. Executive Summary</w:t>
      </w:r>
    </w:p>
    <w:p>
      <w:pPr>
        <w:spacing w:before="80" w:after="180" w:line="269" w:lineRule="auto"/>
        <w:ind w:left="173" w:right="86"/>
        <w:shd w:fill="F5F8FC"/>
        <w:pBdr>
          <w:left w:val="single" w:sz="18" w:space="8" w:color="2E74B5"/>
        </w:pBdr>
      </w:pPr>
      <w:r>
        <w:rPr>
          <w:rFonts w:ascii="Noto Sans CJK SC" w:hAnsi="Noto Sans CJK SC" w:eastAsia="Noto Sans CJK SC"/>
          <w:b/>
          <w:color w:val="2E74B5"/>
          <w:sz w:val="21"/>
        </w:rPr>
        <w:t xml:space="preserve">제안  </w:t>
      </w:r>
      <w:r>
        <w:rPr>
          <w:rFonts w:ascii="Noto Sans CJK SC" w:hAnsi="Noto Sans CJK SC" w:eastAsia="Noto Sans CJK SC"/>
          <w:color w:val="1F2937"/>
          <w:sz w:val="21"/>
        </w:rPr>
        <w:t>박람회 참가 준비를 “검색” 중심 업무에서 “근거 기반 고객 우선순위와 실행 일정 생성” 중심 업무로 전환한다.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/>
          <w:i w:val="0"/>
          <w:color w:val="1F2937"/>
          <w:sz w:val="22"/>
        </w:rPr>
        <w:t>본 시스템은 박람회 사이트의 참가기업·부스·세션 정보를 자동 수집하고, 외부 시장·기술 신호와 내부 사업자료를 결합해 각 기업의 사업기회와 당사 적합성을 평가한다. 이후 참석자 가용시간, 필수 세션, 부스 위치, 이동·버퍼 시간을 제약조건으로 반영해 우선순위 기업과 미팅 일정을 함께 제안한다.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/>
          <w:i w:val="0"/>
          <w:color w:val="1F2937"/>
          <w:sz w:val="22"/>
        </w:rPr>
        <w:t>추천 결과는 단순 회사명 목록이 아니라 ① 왜 이 기업인가, ② 어떤 근거가 있는가, ③ 누구와 무엇을 논의할 것인가, ④ 언제 만나야 하는가, ⑤ 미팅 이후 무엇을 할 것인가를 하나의 실행 패키지로 제공한다.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기대효과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리서치·자료 취합·일정 조정 시간을 줄여 영업·전략 인력이 고객 가설과 미팅 품질에 집중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공개정보만으로 보이지 않는 내부 관계·포트폴리오·수익성 정보를 반영해 당사 관점의 우선순위 산정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추천 근거, 제외 사유, 데이터 최신성을 함께 제시해 블랙박스형 추천의 수용성 문제 해소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미팅 수락·유효기회·RFQ 전환 결과를 학습해 전시회가 반복될수록 추천 정확도를 개선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성공 조건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60"/>
        <w:gridCol w:w="3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성공 조건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핵심 설계 원칙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PoC 판단 기준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근거성</w:t>
            </w:r>
          </w:p>
        </w:tc>
        <w:tc>
          <w:tcPr>
            <w:tcW w:type="dxa" w:w="43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모든 추천 사유에 외부·내부 근거와 출처, 기준일을 연결</w:t>
            </w:r>
          </w:p>
        </w:tc>
        <w:tc>
          <w:tcPr>
            <w:tcW w:type="dxa" w:w="3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Top 후보 근거 연결률 100%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업무 적합성</w:t>
            </w:r>
          </w:p>
        </w:tc>
        <w:tc>
          <w:tcPr>
            <w:tcW w:type="dxa" w:w="43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배터리 포트폴리오·고객전략·지역/PGM·수익성 기준 반영</w:t>
            </w:r>
          </w:p>
        </w:tc>
        <w:tc>
          <w:tcPr>
            <w:tcW w:type="dxa" w:w="3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현업 Top 10 수용률 70% 이상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실행 가능성</w:t>
            </w:r>
          </w:p>
        </w:tc>
        <w:tc>
          <w:tcPr>
            <w:tcW w:type="dxa" w:w="43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세션, 동선, 참석자, 버퍼를 동시에 만족하는 일정 생성</w:t>
            </w:r>
          </w:p>
        </w:tc>
        <w:tc>
          <w:tcPr>
            <w:tcW w:type="dxa" w:w="3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하드 제약 위반 0건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보안성</w:t>
            </w:r>
          </w:p>
        </w:tc>
        <w:tc>
          <w:tcPr>
            <w:tcW w:type="dxa" w:w="43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원문 권한 계승, 민감정보 노출 최소화, 답변 단위 감사로그</w:t>
            </w:r>
          </w:p>
        </w:tc>
        <w:tc>
          <w:tcPr>
            <w:tcW w:type="dxa" w:w="3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권한 밖 인용/노출 0건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2. 추진 배경과 목표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2.1 현행 업무의 문제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구간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현재 방식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핵심 문제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참가기업 확보</w:t>
            </w:r>
          </w:p>
        </w:tc>
        <w:tc>
          <w:tcPr>
            <w:tcW w:type="dxa" w:w="3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박람회 웹페이지·PDF·앱을 수작업 확인</w:t>
            </w:r>
          </w:p>
        </w:tc>
        <w:tc>
          <w:tcPr>
            <w:tcW w:type="dxa" w:w="42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목록 누락, 표기 불일치, 변경사항 재확인 부담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 리서치</w:t>
            </w:r>
          </w:p>
        </w:tc>
        <w:tc>
          <w:tcPr>
            <w:tcW w:type="dxa" w:w="3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검색엔진·DB·논문·특허·뉴스를 개별 조사</w:t>
            </w:r>
          </w:p>
        </w:tc>
        <w:tc>
          <w:tcPr>
            <w:tcW w:type="dxa" w:w="42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기업별 조사 깊이와 기준이 달라 비교가 어려움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내부 매칭</w:t>
            </w:r>
          </w:p>
        </w:tc>
        <w:tc>
          <w:tcPr>
            <w:tcW w:type="dxa" w:w="3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담당자의 기억과 분산 문서에 의존</w:t>
            </w:r>
          </w:p>
        </w:tc>
        <w:tc>
          <w:tcPr>
            <w:tcW w:type="dxa" w:w="42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과거 접촉, RFQ, 실패 사유, 전략 방향이 연결되지 않음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우선순위</w:t>
            </w:r>
          </w:p>
        </w:tc>
        <w:tc>
          <w:tcPr>
            <w:tcW w:type="dxa" w:w="3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규모·인지도·관계 중심의 정성 판단</w:t>
            </w:r>
          </w:p>
        </w:tc>
        <w:tc>
          <w:tcPr>
            <w:tcW w:type="dxa" w:w="42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당사 적합성, 타이밍, 잠재가치가 한 점수로 설명되지 않음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일정 수립</w:t>
            </w:r>
          </w:p>
        </w:tc>
        <w:tc>
          <w:tcPr>
            <w:tcW w:type="dxa" w:w="3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세션표와 부스 지도를 보며 수동 조정</w:t>
            </w:r>
          </w:p>
        </w:tc>
        <w:tc>
          <w:tcPr>
            <w:tcW w:type="dxa" w:w="42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이동시간·중복·버퍼·팀원 분담을 동시에 최적화하기 어려움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사후 관리</w:t>
            </w:r>
          </w:p>
        </w:tc>
        <w:tc>
          <w:tcPr>
            <w:tcW w:type="dxa" w:w="3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회의록과 후속조치가 개인 파일로 분산</w:t>
            </w:r>
          </w:p>
        </w:tc>
        <w:tc>
          <w:tcPr>
            <w:tcW w:type="dxa" w:w="42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추천 성과가 다음 전시회의 학습 데이터로 축적되지 않음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2.2 추진 목표</w:t>
      </w:r>
    </w:p>
    <w:p>
      <w:pPr>
        <w:pStyle w:val="CustomNumber"/>
        <w:numPr>
          <w:ilvl w:val="0"/>
          <w:numId w:val="13"/>
        </w:numPr>
      </w:pPr>
      <w:r>
        <w:rPr>
          <w:rFonts w:ascii="Noto Sans CJK SC" w:hAnsi="Noto Sans CJK SC" w:eastAsia="Noto Sans CJK SC"/>
          <w:color w:val="1F2937"/>
          <w:sz w:val="22"/>
        </w:rPr>
        <w:t>박람회 전체 참가기업을 빠짐없이 구조화하고 기업 실체를 정확히 식별한다.</w:t>
      </w:r>
    </w:p>
    <w:p>
      <w:pPr>
        <w:pStyle w:val="CustomNumber"/>
        <w:numPr>
          <w:ilvl w:val="0"/>
          <w:numId w:val="13"/>
        </w:numPr>
      </w:pPr>
      <w:r>
        <w:rPr>
          <w:rFonts w:ascii="Noto Sans CJK SC" w:hAnsi="Noto Sans CJK SC" w:eastAsia="Noto Sans CJK SC"/>
          <w:color w:val="1F2937"/>
          <w:sz w:val="22"/>
        </w:rPr>
        <w:t>외부 신호와 내부 사업지식을 Company 360 단위로 결합한다.</w:t>
      </w:r>
    </w:p>
    <w:p>
      <w:pPr>
        <w:pStyle w:val="CustomNumber"/>
        <w:numPr>
          <w:ilvl w:val="0"/>
          <w:numId w:val="13"/>
        </w:numPr>
      </w:pPr>
      <w:r>
        <w:rPr>
          <w:rFonts w:ascii="Noto Sans CJK SC" w:hAnsi="Noto Sans CJK SC" w:eastAsia="Noto Sans CJK SC"/>
          <w:color w:val="1F2937"/>
          <w:sz w:val="22"/>
        </w:rPr>
        <w:t>기업별 매칭률, 추천·제외 사유, 예상 미팅 의제를 근거와 함께 제시한다.</w:t>
      </w:r>
    </w:p>
    <w:p>
      <w:pPr>
        <w:pStyle w:val="CustomNumber"/>
        <w:numPr>
          <w:ilvl w:val="0"/>
          <w:numId w:val="13"/>
        </w:numPr>
      </w:pPr>
      <w:r>
        <w:rPr>
          <w:rFonts w:ascii="Noto Sans CJK SC" w:hAnsi="Noto Sans CJK SC" w:eastAsia="Noto Sans CJK SC"/>
          <w:color w:val="1F2937"/>
          <w:sz w:val="22"/>
        </w:rPr>
        <w:t>세션·동선·참석자 제약을 만족하는 개인/팀별 최적 일정을 생성한다.</w:t>
      </w:r>
    </w:p>
    <w:p>
      <w:pPr>
        <w:pStyle w:val="CustomNumber"/>
        <w:numPr>
          <w:ilvl w:val="0"/>
          <w:numId w:val="13"/>
        </w:numPr>
      </w:pPr>
      <w:r>
        <w:rPr>
          <w:rFonts w:ascii="Noto Sans CJK SC" w:hAnsi="Noto Sans CJK SC" w:eastAsia="Noto Sans CJK SC"/>
          <w:color w:val="1F2937"/>
          <w:sz w:val="22"/>
        </w:rPr>
        <w:t>미팅 결과와 기회 전환 데이터를 반영해 추천모델을 지속 개선한다.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2.3 적용 범위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80"/>
        <w:gridCol w:w="398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구분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PoC 포함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MVP 이후 확장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</w:t>
            </w:r>
          </w:p>
        </w:tc>
        <w:tc>
          <w:tcPr>
            <w:tcW w:type="dxa" w:w="3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1개 박람회, 1개 언어권, 공개 참가기업/세션</w:t>
            </w:r>
          </w:p>
        </w:tc>
        <w:tc>
          <w:tcPr>
            <w:tcW w:type="dxa" w:w="3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복수 행사 비교, 다국어, 행사 앱/지도 연계</w:t>
            </w:r>
          </w:p>
        </w:tc>
      </w:tr>
      <w:tr>
        <w:trPr>
          <w:cantSplit/>
        </w:trPr>
        <w:tc>
          <w:tcPr>
            <w:tcW w:type="dxa" w:w="14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외부정보</w:t>
            </w:r>
          </w:p>
        </w:tc>
        <w:tc>
          <w:tcPr>
            <w:tcW w:type="dxa" w:w="3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 홈페이지, 뉴스, 논문/특허 메타데이터, 공시·시장데이터</w:t>
            </w:r>
          </w:p>
        </w:tc>
        <w:tc>
          <w:tcPr>
            <w:tcW w:type="dxa" w:w="3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유료 DB, 채용·웹트래픽·공급망 신호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내부정보</w:t>
            </w:r>
          </w:p>
        </w:tc>
        <w:tc>
          <w:tcPr>
            <w:tcW w:type="dxa" w:w="3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승인된 포트폴리오, 고객전략, 주요 프로젝트/접촉 이력</w:t>
            </w:r>
          </w:p>
        </w:tc>
        <w:tc>
          <w:tcPr>
            <w:tcW w:type="dxa" w:w="3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메일·첨부·회의록·가격/수익성·생산계획</w:t>
            </w:r>
          </w:p>
        </w:tc>
      </w:tr>
      <w:tr>
        <w:trPr>
          <w:cantSplit/>
        </w:trPr>
        <w:tc>
          <w:tcPr>
            <w:tcW w:type="dxa" w:w="14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추천</w:t>
            </w:r>
          </w:p>
        </w:tc>
        <w:tc>
          <w:tcPr>
            <w:tcW w:type="dxa" w:w="3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규칙+가중치 기반 설명 가능한 점수</w:t>
            </w:r>
          </w:p>
        </w:tc>
        <w:tc>
          <w:tcPr>
            <w:tcW w:type="dxa" w:w="3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성과학습, 역할별 개인화, 예측확률 보정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일정</w:t>
            </w:r>
          </w:p>
        </w:tc>
        <w:tc>
          <w:tcPr>
            <w:tcW w:type="dxa" w:w="3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단일 사용자 또는 소규모 팀 일정</w:t>
            </w:r>
          </w:p>
        </w:tc>
        <w:tc>
          <w:tcPr>
            <w:tcW w:type="dxa" w:w="3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다팀 자원배분, 고객 응답 기반 실시간 재최적화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3. 대표 사용자 시나리오</w:t>
      </w:r>
    </w:p>
    <w:p>
      <w:pPr>
        <w:spacing w:before="80" w:after="180" w:line="269" w:lineRule="auto"/>
        <w:ind w:left="173" w:right="86"/>
        <w:shd w:fill="E7F3F2"/>
        <w:pBdr>
          <w:left w:val="single" w:sz="18" w:space="8" w:color="1B7F79"/>
        </w:pBdr>
      </w:pPr>
      <w:r>
        <w:rPr>
          <w:rFonts w:ascii="Noto Sans CJK SC" w:hAnsi="Noto Sans CJK SC" w:eastAsia="Noto Sans CJK SC"/>
          <w:b/>
          <w:color w:val="1B7F79"/>
          <w:sz w:val="21"/>
        </w:rPr>
        <w:t xml:space="preserve">사용자 요청 예시  </w:t>
      </w:r>
      <w:r>
        <w:rPr>
          <w:rFonts w:ascii="Noto Sans CJK SC" w:hAnsi="Noto Sans CJK SC" w:eastAsia="Noto Sans CJK SC"/>
          <w:color w:val="1F2937"/>
          <w:sz w:val="21"/>
        </w:rPr>
        <w:t>“10월 14~16일 A Mobility Expo에 참석한다. 배터리 신사업과 북미 고객개발 관점에서 꼭 만나야 할 기업을 발굴하고, 필수 세션과 이동시간을 반영해 영업·기술 담당자별 일정을 짜줘.”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3.1 End-to-End 사용자 여정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300"/>
        <w:gridCol w:w="4010"/>
        <w:gridCol w:w="300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시점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단계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시스템 동작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주요 산출물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D-30~21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등록</w:t>
            </w:r>
          </w:p>
        </w:tc>
        <w:tc>
          <w:tcPr>
            <w:tcW w:type="dxa" w:w="40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URL, 기간, 참가 목적, 전략 테마, 참석자/역할 입력</w:t>
            </w:r>
          </w:p>
        </w:tc>
        <w:tc>
          <w:tcPr>
            <w:tcW w:type="dxa" w:w="3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구조·참가기업·세션 초안</w:t>
            </w:r>
          </w:p>
        </w:tc>
      </w:tr>
      <w:tr>
        <w:trPr>
          <w:cantSplit/>
        </w:trPr>
        <w:tc>
          <w:tcPr>
            <w:tcW w:type="dxa" w:w="105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D-21~14</w:t>
            </w:r>
          </w:p>
        </w:tc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후보 발굴</w:t>
            </w:r>
          </w:p>
        </w:tc>
        <w:tc>
          <w:tcPr>
            <w:tcW w:type="dxa" w:w="40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전시기업 전체 추출, 기업 식별, 외부/내부 증거 수집</w:t>
            </w:r>
          </w:p>
        </w:tc>
        <w:tc>
          <w:tcPr>
            <w:tcW w:type="dxa" w:w="3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Company 360 카드, 데이터 공백 목록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D-14~7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우선순위</w:t>
            </w:r>
          </w:p>
        </w:tc>
        <w:tc>
          <w:tcPr>
            <w:tcW w:type="dxa" w:w="40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매칭률 산정, 담당자 검토, 제외/가점 사유 조정</w:t>
            </w:r>
          </w:p>
        </w:tc>
        <w:tc>
          <w:tcPr>
            <w:tcW w:type="dxa" w:w="3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S/A/B 후보군, 미팅 목적·질문</w:t>
            </w:r>
          </w:p>
        </w:tc>
      </w:tr>
      <w:tr>
        <w:trPr>
          <w:cantSplit/>
        </w:trPr>
        <w:tc>
          <w:tcPr>
            <w:tcW w:type="dxa" w:w="105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D-7~1</w:t>
            </w:r>
          </w:p>
        </w:tc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일정 확정</w:t>
            </w:r>
          </w:p>
        </w:tc>
        <w:tc>
          <w:tcPr>
            <w:tcW w:type="dxa" w:w="40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미팅 가능시간·필수 세션·부스 위치·버퍼 반영</w:t>
            </w:r>
          </w:p>
        </w:tc>
        <w:tc>
          <w:tcPr>
            <w:tcW w:type="dxa" w:w="3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개인/팀 일정표, 충돌·대안 슬롯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당일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현장 실행</w:t>
            </w:r>
          </w:p>
        </w:tc>
        <w:tc>
          <w:tcPr>
            <w:tcW w:type="dxa" w:w="40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변경 세션·취소·지연 반영, 다음 최선 일정 재계산</w:t>
            </w:r>
          </w:p>
        </w:tc>
        <w:tc>
          <w:tcPr>
            <w:tcW w:type="dxa" w:w="3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모바일 브리핑, 실시간 대체 일정</w:t>
            </w:r>
          </w:p>
        </w:tc>
      </w:tr>
      <w:tr>
        <w:trPr>
          <w:cantSplit/>
        </w:trPr>
        <w:tc>
          <w:tcPr>
            <w:tcW w:type="dxa" w:w="105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D+1~7</w:t>
            </w:r>
          </w:p>
        </w:tc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후속 관리</w:t>
            </w:r>
          </w:p>
        </w:tc>
        <w:tc>
          <w:tcPr>
            <w:tcW w:type="dxa" w:w="40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미팅 메모·평가·Next Action 수집</w:t>
            </w:r>
          </w:p>
        </w:tc>
        <w:tc>
          <w:tcPr>
            <w:tcW w:type="dxa" w:w="3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후속 메일 초안, 기회 등록, 학습데이터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3.2 기대 답변 구조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요약: 분석한 참가기업 수, 우선 검토 대상 수, 데이터 기준일, 핵심 제약조건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추천: 기업별 매칭률, 등급, 추천 사유 3개, 반대 근거/리스크, 근거 출처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미팅 설계: 담당자, 미팅 목적, 핵심 질문, 권장 시간, 부스/장소, 예상 소요시간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일정: 필수 세션과 미팅을 결합한 시간표, 이동·버퍼, 충돌 및 대체안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사후조치: 담당자·기한·산출물, CRM/파일 저장 위치, 학습용 결과 라벨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4. 서비스 구성과 핵심 기능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00"/>
        <w:gridCol w:w="4980"/>
        <w:gridCol w:w="198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기능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주요 내용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산출물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F1</w:t>
            </w:r>
          </w:p>
        </w:tc>
        <w:tc>
          <w:tcPr>
            <w:tcW w:type="dxa" w:w="18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인텔리전스</w:t>
            </w:r>
          </w:p>
        </w:tc>
        <w:tc>
          <w:tcPr>
            <w:tcW w:type="dxa" w:w="4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웹/PDF/앱의 참가기업, 부스, 세션, 연사, 장소, 변경사항을 구조화</w:t>
            </w:r>
          </w:p>
        </w:tc>
        <w:tc>
          <w:tcPr>
            <w:tcW w:type="dxa" w:w="1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마스터</w:t>
            </w:r>
          </w:p>
        </w:tc>
      </w:tr>
      <w:tr>
        <w:trPr>
          <w:cantSplit/>
        </w:trPr>
        <w:tc>
          <w:tcPr>
            <w:tcW w:type="dxa" w:w="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F2</w:t>
            </w:r>
          </w:p>
        </w:tc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 식별·정합</w:t>
            </w:r>
          </w:p>
        </w:tc>
        <w:tc>
          <w:tcPr>
            <w:tcW w:type="dxa" w:w="4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법인명/브랜드/자회사/도메인/티커를 통합하고 중복을 제거</w:t>
            </w:r>
          </w:p>
        </w:tc>
        <w:tc>
          <w:tcPr>
            <w:tcW w:type="dxa" w:w="1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 ID·관계 그래프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F3</w:t>
            </w:r>
          </w:p>
        </w:tc>
        <w:tc>
          <w:tcPr>
            <w:tcW w:type="dxa" w:w="18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외부 신호 수집</w:t>
            </w:r>
          </w:p>
        </w:tc>
        <w:tc>
          <w:tcPr>
            <w:tcW w:type="dxa" w:w="4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시장·재무·투자·생산·논문·특허·뉴스·정책 신호를 최신성/신뢰도와 저장</w:t>
            </w:r>
          </w:p>
        </w:tc>
        <w:tc>
          <w:tcPr>
            <w:tcW w:type="dxa" w:w="1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External Evidence</w:t>
            </w:r>
          </w:p>
        </w:tc>
      </w:tr>
      <w:tr>
        <w:trPr>
          <w:cantSplit/>
        </w:trPr>
        <w:tc>
          <w:tcPr>
            <w:tcW w:type="dxa" w:w="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F4</w:t>
            </w:r>
          </w:p>
        </w:tc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내부 지식 결합</w:t>
            </w:r>
          </w:p>
        </w:tc>
        <w:tc>
          <w:tcPr>
            <w:tcW w:type="dxa" w:w="4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포트폴리오, 고객전략, RFQ/프로젝트, 이메일·회의록, 가격/수익성 근거 연결</w:t>
            </w:r>
          </w:p>
        </w:tc>
        <w:tc>
          <w:tcPr>
            <w:tcW w:type="dxa" w:w="1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Internal Evidence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F5</w:t>
            </w:r>
          </w:p>
        </w:tc>
        <w:tc>
          <w:tcPr>
            <w:tcW w:type="dxa" w:w="18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Company 360</w:t>
            </w:r>
          </w:p>
        </w:tc>
        <w:tc>
          <w:tcPr>
            <w:tcW w:type="dxa" w:w="4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사업/기술/조직/지역/관계/니즈/리스크를 기업별 단일 뷰로 요약</w:t>
            </w:r>
          </w:p>
        </w:tc>
        <w:tc>
          <w:tcPr>
            <w:tcW w:type="dxa" w:w="1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 분석 카드</w:t>
            </w:r>
          </w:p>
        </w:tc>
      </w:tr>
      <w:tr>
        <w:trPr>
          <w:cantSplit/>
        </w:trPr>
        <w:tc>
          <w:tcPr>
            <w:tcW w:type="dxa" w:w="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F6</w:t>
            </w:r>
          </w:p>
        </w:tc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매칭·추천</w:t>
            </w:r>
          </w:p>
        </w:tc>
        <w:tc>
          <w:tcPr>
            <w:tcW w:type="dxa" w:w="4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필수조건, 가중치, 리스크 패널티로 매칭률과 S/A/B 등급 산정</w:t>
            </w:r>
          </w:p>
        </w:tc>
        <w:tc>
          <w:tcPr>
            <w:tcW w:type="dxa" w:w="1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우선순위 리스트</w:t>
            </w:r>
          </w:p>
        </w:tc>
      </w:tr>
      <w:tr>
        <w:trPr>
          <w:cantSplit/>
        </w:trPr>
        <w:tc>
          <w:tcPr>
            <w:tcW w:type="dxa" w:w="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F7</w:t>
            </w:r>
          </w:p>
        </w:tc>
        <w:tc>
          <w:tcPr>
            <w:tcW w:type="dxa" w:w="18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일정 최적화</w:t>
            </w:r>
          </w:p>
        </w:tc>
        <w:tc>
          <w:tcPr>
            <w:tcW w:type="dxa" w:w="4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세션·미팅·동선·버퍼·팀원 역량·가용시간을 제약식으로 최적화</w:t>
            </w:r>
          </w:p>
        </w:tc>
        <w:tc>
          <w:tcPr>
            <w:tcW w:type="dxa" w:w="198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개인/팀 일정표</w:t>
            </w:r>
          </w:p>
        </w:tc>
      </w:tr>
      <w:tr>
        <w:trPr>
          <w:cantSplit/>
        </w:trPr>
        <w:tc>
          <w:tcPr>
            <w:tcW w:type="dxa" w:w="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F8</w:t>
            </w:r>
          </w:p>
        </w:tc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현장·사후 지원</w:t>
            </w:r>
          </w:p>
        </w:tc>
        <w:tc>
          <w:tcPr>
            <w:tcW w:type="dxa" w:w="4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브리핑, 질문지, 실시간 재계산, 회의록/후속메일/Next Action 생성</w:t>
            </w:r>
          </w:p>
        </w:tc>
        <w:tc>
          <w:tcPr>
            <w:tcW w:type="dxa" w:w="198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실행 패키지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4.1 권장 서비스 화면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Event Brief: 행사 목적, 전략 테마, 참가자, 제약조건, 데이터 수집 상태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Target Account Board: 매칭률·등급·유형·지역·부스·미팅 상태 필터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Company 360: 외부 신호와 내부 관계를 분리 표시하되 결론은 하나로 통합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Schedule Studio: 세션/미팅 타임라인, 지도 기반 이동시간, 충돌·대체안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Outcome Tracker: 수락/거절, 미팅 품질, 기회 단계, 금액, Next Action</w:t>
      </w:r>
    </w:p>
    <w:p>
      <w:r>
        <w:rPr>
          <w:rFonts w:ascii="Noto Sans CJK SC" w:hAnsi="Noto Sans CJK SC" w:eastAsia="Noto Sans CJK SC"/>
          <w:color w:val="1F2937"/>
          <w:sz w:val="22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5. 데이터 및 솔루션 아키텍처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/>
          <w:i w:val="0"/>
          <w:color w:val="1F2937"/>
          <w:sz w:val="22"/>
        </w:rPr>
        <w:t>핵심은 검색 결과를 단순 요약하는 것이 아니라, 기업 ID를 기준으로 외부·내부 증거를 정합하고 각 결론의 근거·최신성·권한을 보존하는 것이다. 일정 엔진은 추천 엔진과 분리해 “좋은 고객”과 “이번 행사에서 실제로 만날 수 있는 고객”을 구분한다.</w:t>
      </w:r>
    </w:p>
    <w:p>
      <w:pPr>
        <w:spacing w:after="60"/>
        <w:jc w:val="center"/>
      </w:pPr>
      <w:r>
        <w:rPr>
          <w:rFonts w:ascii="Noto Sans CJK SC" w:hAnsi="Noto Sans CJK SC" w:eastAsia="Noto Sans CJK SC"/>
          <w:color w:val="1F2937"/>
          <w:sz w:val="22"/>
        </w:rPr>
        <w:drawing>
          <wp:inline xmlns:a="http://schemas.openxmlformats.org/drawingml/2006/main" xmlns:pic="http://schemas.openxmlformats.org/drawingml/2006/picture">
            <wp:extent cx="5806440" cy="3023060"/>
            <wp:docPr id="1" name="데이터-추천-일정 아키텍처" descr="박람회, 외부 기업신호, 내부 사업지식이 Company 360으로 통합되고 매칭과 일정 최적화를 거쳐 실행 패키지로 제공되는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2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Noto Sans CJK SC" w:hAnsi="Noto Sans CJK SC" w:eastAsia="Noto Sans CJK SC"/>
          <w:i/>
          <w:color w:val="64748B"/>
          <w:sz w:val="18"/>
        </w:rPr>
        <w:t>그림 1. 데이터에서 실행 가능한 박람회 일정까지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5.1 데이터 소스 설계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200"/>
        <w:gridCol w:w="1750"/>
        <w:gridCol w:w="1300"/>
        <w:gridCol w:w="181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영역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대표 항목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수집 방식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갱신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권한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박람회</w:t>
            </w:r>
          </w:p>
        </w:tc>
        <w:tc>
          <w:tcPr>
            <w:tcW w:type="dxa" w:w="3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참가기업/부스/세션/연사/지도/변경공지</w:t>
            </w:r>
          </w:p>
        </w:tc>
        <w:tc>
          <w:tcPr>
            <w:tcW w:type="dxa" w:w="175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크롤링·API·PDF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행사별/수시간</w:t>
            </w:r>
          </w:p>
        </w:tc>
        <w:tc>
          <w:tcPr>
            <w:tcW w:type="dxa" w:w="18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공개</w:t>
            </w:r>
          </w:p>
        </w:tc>
      </w:tr>
      <w:tr>
        <w:trPr>
          <w:cantSplit/>
        </w:trPr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외부 시장</w:t>
            </w:r>
          </w:p>
        </w:tc>
        <w:tc>
          <w:tcPr>
            <w:tcW w:type="dxa" w:w="3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매출·성장·투자·공장·생산·지역·제품</w:t>
            </w:r>
          </w:p>
        </w:tc>
        <w:tc>
          <w:tcPr>
            <w:tcW w:type="dxa" w:w="175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공시/기업사이트/유료 DB</w:t>
            </w:r>
          </w:p>
        </w:tc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월/분기</w:t>
            </w:r>
          </w:p>
        </w:tc>
        <w:tc>
          <w:tcPr>
            <w:tcW w:type="dxa" w:w="18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계약 확인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기술</w:t>
            </w:r>
          </w:p>
        </w:tc>
        <w:tc>
          <w:tcPr>
            <w:tcW w:type="dxa" w:w="3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논문·특허·표준·기술키워드·공동연구</w:t>
            </w:r>
          </w:p>
        </w:tc>
        <w:tc>
          <w:tcPr>
            <w:tcW w:type="dxa" w:w="175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공개 API/DB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주/월</w:t>
            </w:r>
          </w:p>
        </w:tc>
        <w:tc>
          <w:tcPr>
            <w:tcW w:type="dxa" w:w="18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공개/계약</w:t>
            </w:r>
          </w:p>
        </w:tc>
      </w:tr>
      <w:tr>
        <w:trPr>
          <w:cantSplit/>
        </w:trPr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뉴스·신호</w:t>
            </w:r>
          </w:p>
        </w:tc>
        <w:tc>
          <w:tcPr>
            <w:tcW w:type="dxa" w:w="3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신규사업·파트너십·수주·채용·정책 영향</w:t>
            </w:r>
          </w:p>
        </w:tc>
        <w:tc>
          <w:tcPr>
            <w:tcW w:type="dxa" w:w="175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뉴스/RSS/웹</w:t>
            </w:r>
          </w:p>
        </w:tc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일/주</w:t>
            </w:r>
          </w:p>
        </w:tc>
        <w:tc>
          <w:tcPr>
            <w:tcW w:type="dxa" w:w="18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공개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내부 전략</w:t>
            </w:r>
          </w:p>
        </w:tc>
        <w:tc>
          <w:tcPr>
            <w:tcW w:type="dxa" w:w="3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고객전략·시장전망·PGM·지역·제품 포트폴리오</w:t>
            </w:r>
          </w:p>
        </w:tc>
        <w:tc>
          <w:tcPr>
            <w:tcW w:type="dxa" w:w="175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문서/RAG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변경 시</w:t>
            </w:r>
          </w:p>
        </w:tc>
        <w:tc>
          <w:tcPr>
            <w:tcW w:type="dxa" w:w="18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사내 권한</w:t>
            </w:r>
          </w:p>
        </w:tc>
      </w:tr>
      <w:tr>
        <w:trPr>
          <w:cantSplit/>
        </w:trPr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내부 영업</w:t>
            </w:r>
          </w:p>
        </w:tc>
        <w:tc>
          <w:tcPr>
            <w:tcW w:type="dxa" w:w="3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과거 접촉·RFQ·견적·회의록·메일·실패/성공 사유</w:t>
            </w:r>
          </w:p>
        </w:tc>
        <w:tc>
          <w:tcPr>
            <w:tcW w:type="dxa" w:w="175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CRM/파일/메일</w:t>
            </w:r>
          </w:p>
        </w:tc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일</w:t>
            </w:r>
          </w:p>
        </w:tc>
        <w:tc>
          <w:tcPr>
            <w:tcW w:type="dxa" w:w="18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고객별 권한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내부 경영</w:t>
            </w:r>
          </w:p>
        </w:tc>
        <w:tc>
          <w:tcPr>
            <w:tcW w:type="dxa" w:w="3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가격·원가·수익성·생산능력·제약</w:t>
            </w:r>
          </w:p>
        </w:tc>
        <w:tc>
          <w:tcPr>
            <w:tcW w:type="dxa" w:w="175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DW/계획/문서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주/월</w:t>
            </w:r>
          </w:p>
        </w:tc>
        <w:tc>
          <w:tcPr>
            <w:tcW w:type="dxa" w:w="18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고민감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5.2 기업 식별과 Evidence 모델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Canonical Company ID: 법인, 브랜드, 자회사, 모회사, 웹 도메인, 국가, 티커를 하나의 식별체계로 관리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Evidence Object: 원문 위치, 문장/표, 출처, 작성일, 수집일, 권한, 신뢰도, 적용 대상 기업·PGM·지역을 저장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Claim Object: “북미 생산 확대”, “46xx 적용 가능성” 등 분석 결론과 이를 지지·반박하는 Evidence를 연결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Conflict Rule: 최신성·원천 신뢰도·내부 확정정보 우선순위를 적용하고 상충 정보는 숨기지 않고 표시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Freshness Rule: 속성별 유효기간을 달리해 오래된 가격·생산계획이 현재 사실처럼 사용되는 것을 방지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6. 기업 분석 및 매칭률 설계</w:t>
      </w:r>
    </w:p>
    <w:p>
      <w:pPr>
        <w:spacing w:before="80" w:after="180" w:line="269" w:lineRule="auto"/>
        <w:ind w:left="173" w:right="86"/>
        <w:shd w:fill="FFF5D6"/>
        <w:pBdr>
          <w:left w:val="single" w:sz="18" w:space="8" w:color="C28A00"/>
        </w:pBdr>
      </w:pPr>
      <w:r>
        <w:rPr>
          <w:rFonts w:ascii="Noto Sans CJK SC" w:hAnsi="Noto Sans CJK SC" w:eastAsia="Noto Sans CJK SC"/>
          <w:b/>
          <w:color w:val="C28A00"/>
          <w:sz w:val="21"/>
        </w:rPr>
        <w:t xml:space="preserve">정의  </w:t>
      </w:r>
      <w:r>
        <w:rPr>
          <w:rFonts w:ascii="Noto Sans CJK SC" w:hAnsi="Noto Sans CJK SC" w:eastAsia="Noto Sans CJK SC"/>
          <w:color w:val="1F2937"/>
          <w:sz w:val="21"/>
        </w:rPr>
        <w:t>초기 “매칭률”은 확률이 아니라 0~100점의 설명 가능한 적합도 지수다. 충분한 수락·기회전환 이력이 쌓인 후에만 확률로 보정한다.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6.1 3단계 평가 구조</w:t>
      </w:r>
    </w:p>
    <w:p>
      <w:pPr>
        <w:pStyle w:val="CustomNumber"/>
        <w:numPr>
          <w:ilvl w:val="0"/>
          <w:numId w:val="14"/>
        </w:numPr>
      </w:pPr>
      <w:r>
        <w:rPr>
          <w:rFonts w:ascii="Noto Sans CJK SC" w:hAnsi="Noto Sans CJK SC" w:eastAsia="Noto Sans CJK SC"/>
          <w:color w:val="1F2937"/>
          <w:sz w:val="22"/>
        </w:rPr>
        <w:t>Eligibility Gate: 지역, 사업영역, 규제/제재, 경쟁·이해상충, 당사 공급 가능성 등 필수조건을 판정한다.</w:t>
      </w:r>
    </w:p>
    <w:p>
      <w:pPr>
        <w:pStyle w:val="CustomNumber"/>
        <w:numPr>
          <w:ilvl w:val="0"/>
          <w:numId w:val="14"/>
        </w:numPr>
      </w:pPr>
      <w:r>
        <w:rPr>
          <w:rFonts w:ascii="Noto Sans CJK SC" w:hAnsi="Noto Sans CJK SC" w:eastAsia="Noto Sans CJK SC"/>
          <w:color w:val="1F2937"/>
          <w:sz w:val="22"/>
        </w:rPr>
        <w:t>Match Score: 전략·기술·가치·타이밍·관계 공백·증거품질을 0~100점으로 계산한다.</w:t>
      </w:r>
    </w:p>
    <w:p>
      <w:pPr>
        <w:pStyle w:val="CustomNumber"/>
        <w:numPr>
          <w:ilvl w:val="0"/>
          <w:numId w:val="14"/>
        </w:numPr>
      </w:pPr>
      <w:r>
        <w:rPr>
          <w:rFonts w:ascii="Noto Sans CJK SC" w:hAnsi="Noto Sans CJK SC" w:eastAsia="Noto Sans CJK SC"/>
          <w:color w:val="1F2937"/>
          <w:sz w:val="22"/>
        </w:rPr>
        <w:t>Risk/Feasibility: 재무·평판·계약·채널충돌 리스크는 감점하고, 행사 내 접촉 가능성은 일정 엔진에서 별도 반영한다.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6.2 초기 가중치 제안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000"/>
        <w:gridCol w:w="3550"/>
        <w:gridCol w:w="29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평가축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가중치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평가 내용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대표 근거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전략 적합성</w:t>
            </w:r>
          </w:p>
        </w:tc>
        <w:tc>
          <w:tcPr>
            <w:tcW w:type="dxa" w:w="1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25%</w:t>
            </w:r>
          </w:p>
        </w:tc>
        <w:tc>
          <w:tcPr>
            <w:tcW w:type="dxa" w:w="355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목표 지역·세그먼트·고객군·중장기 포트폴리오 방향</w:t>
            </w:r>
          </w:p>
        </w:tc>
        <w:tc>
          <w:tcPr>
            <w:tcW w:type="dxa" w:w="29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내부 고객전략, 시장전망</w:t>
            </w:r>
          </w:p>
        </w:tc>
      </w:tr>
      <w:tr>
        <w:trPr>
          <w:cantSplit/>
        </w:trPr>
        <w:tc>
          <w:tcPr>
            <w:tcW w:type="dxa" w:w="19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포트폴리오/기술 적합성</w:t>
            </w:r>
          </w:p>
        </w:tc>
        <w:tc>
          <w:tcPr>
            <w:tcW w:type="dxa" w:w="1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22%</w:t>
            </w:r>
          </w:p>
        </w:tc>
        <w:tc>
          <w:tcPr>
            <w:tcW w:type="dxa" w:w="355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셀 폼팩터·화학계·성능·솔루션·SOP 시점의 적합성</w:t>
            </w:r>
          </w:p>
        </w:tc>
        <w:tc>
          <w:tcPr>
            <w:tcW w:type="dxa" w:w="29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제품 로드맵, 논문/특허, 제품사양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사업 잠재가치</w:t>
            </w:r>
          </w:p>
        </w:tc>
        <w:tc>
          <w:tcPr>
            <w:tcW w:type="dxa" w:w="1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18%</w:t>
            </w:r>
          </w:p>
        </w:tc>
        <w:tc>
          <w:tcPr>
            <w:tcW w:type="dxa" w:w="355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예상 수요, 성장성, ASP/수익성, 확장 가능성</w:t>
            </w:r>
          </w:p>
        </w:tc>
        <w:tc>
          <w:tcPr>
            <w:tcW w:type="dxa" w:w="29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시장/생산 데이터, 내부 수익성 기준</w:t>
            </w:r>
          </w:p>
        </w:tc>
      </w:tr>
      <w:tr>
        <w:trPr>
          <w:cantSplit/>
        </w:trPr>
        <w:tc>
          <w:tcPr>
            <w:tcW w:type="dxa" w:w="19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니즈·타이밍 신호</w:t>
            </w:r>
          </w:p>
        </w:tc>
        <w:tc>
          <w:tcPr>
            <w:tcW w:type="dxa" w:w="1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15%</w:t>
            </w:r>
          </w:p>
        </w:tc>
        <w:tc>
          <w:tcPr>
            <w:tcW w:type="dxa" w:w="355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신규 투자, 개발, 채용, RFQ, 파트너 교체, 정책 변화</w:t>
            </w:r>
          </w:p>
        </w:tc>
        <w:tc>
          <w:tcPr>
            <w:tcW w:type="dxa" w:w="29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뉴스, 채용, 공시, 내부 접촉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관계 기회</w:t>
            </w:r>
          </w:p>
        </w:tc>
        <w:tc>
          <w:tcPr>
            <w:tcW w:type="dxa" w:w="1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10%</w:t>
            </w:r>
          </w:p>
        </w:tc>
        <w:tc>
          <w:tcPr>
            <w:tcW w:type="dxa" w:w="355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기존 접점, 의사결정자 접근성, 미충족 영역, 경쟁 공백</w:t>
            </w:r>
          </w:p>
        </w:tc>
        <w:tc>
          <w:tcPr>
            <w:tcW w:type="dxa" w:w="291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메일/회의록, 계정전략</w:t>
            </w:r>
          </w:p>
        </w:tc>
      </w:tr>
      <w:tr>
        <w:trPr>
          <w:cantSplit/>
        </w:trPr>
        <w:tc>
          <w:tcPr>
            <w:tcW w:type="dxa" w:w="19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증거 신뢰도</w:t>
            </w:r>
          </w:p>
        </w:tc>
        <w:tc>
          <w:tcPr>
            <w:tcW w:type="dxa" w:w="1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10%</w:t>
            </w:r>
          </w:p>
        </w:tc>
        <w:tc>
          <w:tcPr>
            <w:tcW w:type="dxa" w:w="355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출처 품질, 최신성, 다중근거 일치, 내부 검증 여부</w:t>
            </w:r>
          </w:p>
        </w:tc>
        <w:tc>
          <w:tcPr>
            <w:tcW w:type="dxa" w:w="291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Evidence 메타데이터</w:t>
            </w:r>
          </w:p>
        </w:tc>
      </w:tr>
    </w:tbl>
    <w:p>
      <w:pPr>
        <w:spacing w:after="40"/>
      </w:pPr>
    </w:p>
    <w:p>
      <w:pPr>
        <w:spacing w:before="80" w:after="180" w:line="269" w:lineRule="auto"/>
        <w:ind w:left="173" w:right="86"/>
        <w:shd w:fill="F5F8FC"/>
        <w:pBdr>
          <w:left w:val="single" w:sz="18" w:space="8" w:color="2E74B5"/>
        </w:pBdr>
      </w:pPr>
      <w:r>
        <w:rPr>
          <w:rFonts w:ascii="Noto Sans CJK SC" w:hAnsi="Noto Sans CJK SC" w:eastAsia="Noto Sans CJK SC"/>
          <w:b/>
          <w:color w:val="2E74B5"/>
          <w:sz w:val="21"/>
        </w:rPr>
        <w:t xml:space="preserve">산식  </w:t>
      </w:r>
      <w:r>
        <w:rPr>
          <w:rFonts w:ascii="Noto Sans CJK SC" w:hAnsi="Noto Sans CJK SC" w:eastAsia="Noto Sans CJK SC"/>
          <w:color w:val="1F2937"/>
          <w:sz w:val="21"/>
        </w:rPr>
        <w:t>Match Score = Gate × (0.25S + 0.22T + 0.18V + 0.15I + 0.10R + 0.10E) − Risk Penalty(0~15)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/>
          <w:i w:val="0"/>
          <w:color w:val="1F2937"/>
          <w:sz w:val="22"/>
        </w:rPr>
        <w:t>S/T/V/I/R/E는 각 평가축의 0~100 정규화 점수다. Gate가 0인 기업은 추천 대상에서 제외하되, 제외 사유와 근거를 남긴다. 가중치는 전략 테마별 템플릿(신규 OEM, ESS, 소재/재활용, 기술제휴 등)로 달리하고 현업 승인 이력을 통해 보정한다.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6.3 등급과 의사결정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00"/>
        <w:gridCol w:w="1800"/>
        <w:gridCol w:w="5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등급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점수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의미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권장 액션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</w:t>
            </w:r>
          </w:p>
        </w:tc>
        <w:tc>
          <w:tcPr>
            <w:tcW w:type="dxa" w:w="1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85~100</w:t>
            </w:r>
          </w:p>
        </w:tc>
        <w:tc>
          <w:tcPr>
            <w:tcW w:type="dxa" w:w="18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반드시 접촉</w:t>
            </w:r>
          </w:p>
        </w:tc>
        <w:tc>
          <w:tcPr>
            <w:tcW w:type="dxa" w:w="54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필수 미팅 슬롯 우선 배정, 경영진/기술 리더 동반 검토</w:t>
            </w:r>
          </w:p>
        </w:tc>
      </w:tr>
      <w:tr>
        <w:trPr>
          <w:cantSplit/>
        </w:trPr>
        <w:tc>
          <w:tcPr>
            <w:tcW w:type="dxa" w:w="9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</w:t>
            </w:r>
          </w:p>
        </w:tc>
        <w:tc>
          <w:tcPr>
            <w:tcW w:type="dxa" w:w="1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70~84</w:t>
            </w:r>
          </w:p>
        </w:tc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우선 접촉</w:t>
            </w:r>
          </w:p>
        </w:tc>
        <w:tc>
          <w:tcPr>
            <w:tcW w:type="dxa" w:w="54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일정 여유와 담당자 역량을 고려해 미팅 또는 세션 접촉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</w:t>
            </w:r>
          </w:p>
        </w:tc>
        <w:tc>
          <w:tcPr>
            <w:tcW w:type="dxa" w:w="1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55~69</w:t>
            </w:r>
          </w:p>
        </w:tc>
        <w:tc>
          <w:tcPr>
            <w:tcW w:type="dxa" w:w="18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조건부 접촉</w:t>
            </w:r>
          </w:p>
        </w:tc>
        <w:tc>
          <w:tcPr>
            <w:tcW w:type="dxa" w:w="54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현장 탐색, 파트너 소개, 대체 슬롯 후보</w:t>
            </w:r>
          </w:p>
        </w:tc>
      </w:tr>
      <w:tr>
        <w:trPr>
          <w:cantSplit/>
        </w:trPr>
        <w:tc>
          <w:tcPr>
            <w:tcW w:type="dxa" w:w="9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</w:t>
            </w:r>
          </w:p>
        </w:tc>
        <w:tc>
          <w:tcPr>
            <w:tcW w:type="dxa" w:w="1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0~54</w:t>
            </w:r>
          </w:p>
        </w:tc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관찰/제외</w:t>
            </w:r>
          </w:p>
        </w:tc>
        <w:tc>
          <w:tcPr>
            <w:tcW w:type="dxa" w:w="54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모니터링 또는 제외 사유 기록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6.4 설명 가능성과 품질 통제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추천 사유는 “사실 → 해석 → 당사 시사점 → 미팅 가설”의 4단 구조로 생성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각 사유에 최소 1개 근거 링크와 기준일을 표시하고, 내부 근거는 열람 권한에 따라 마스킹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찬성 근거뿐 아니라 리스크·반대 근거·데이터 공백을 동시에 표시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LLM은 근거의 요약·질의응답을 담당하고, 점수 계산·필수조건·일정 제약은 결정론적 로직으로 수행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현업의 “적합/부적합·사유” 피드백을 저장해 가중치 변경 이력을 관리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7. 박람회 일정 최적화 설계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/>
          <w:i w:val="0"/>
          <w:color w:val="1F2937"/>
          <w:sz w:val="22"/>
        </w:rPr>
        <w:t>일정 수립은 단순 정렬이 아니라 제약조건 최적화 문제로 처리한다. 의사결정 변수는 “기업 i를 시간 t에 참석자 k가 만나는가”이며, 목표는 우선순위·세션 가치·접촉 가능성을 최대화하면서 이동·충돌·피로도를 최소화하는 것이다.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7.1 제약조건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200"/>
        <w:gridCol w:w="61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구분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제약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적용 방식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Hard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시간 중복 금지</w:t>
            </w:r>
          </w:p>
        </w:tc>
        <w:tc>
          <w:tcPr>
            <w:tcW w:type="dxa" w:w="6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한 참석자는 동일 시간에 하나의 미팅/세션만 배정</w:t>
            </w:r>
          </w:p>
        </w:tc>
      </w:tr>
      <w:tr>
        <w:trPr>
          <w:cantSplit/>
        </w:trPr>
        <w:tc>
          <w:tcPr>
            <w:tcW w:type="dxa" w:w="10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Hard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가능시간</w:t>
            </w:r>
          </w:p>
        </w:tc>
        <w:tc>
          <w:tcPr>
            <w:tcW w:type="dxa" w:w="6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고객/참석자 가용시간, 행사 운영시간, 사전 확정 미팅 준수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Hard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이동시간</w:t>
            </w:r>
          </w:p>
        </w:tc>
        <w:tc>
          <w:tcPr>
            <w:tcW w:type="dxa" w:w="6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부스·회의실·세션 장소 간 예상 이동시간과 최소 버퍼 반영</w:t>
            </w:r>
          </w:p>
        </w:tc>
      </w:tr>
      <w:tr>
        <w:trPr>
          <w:cantSplit/>
        </w:trPr>
        <w:tc>
          <w:tcPr>
            <w:tcW w:type="dxa" w:w="10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Hard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필수 세션</w:t>
            </w:r>
          </w:p>
        </w:tc>
        <w:tc>
          <w:tcPr>
            <w:tcW w:type="dxa" w:w="6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사전 지정된 필수 세션/경영진 일정은 고정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Soft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우선순위</w:t>
            </w:r>
          </w:p>
        </w:tc>
        <w:tc>
          <w:tcPr>
            <w:tcW w:type="dxa" w:w="6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S/A 등급과 미팅 기대가치가 높은 기업을 먼저 배정</w:t>
            </w:r>
          </w:p>
        </w:tc>
      </w:tr>
      <w:tr>
        <w:trPr>
          <w:cantSplit/>
        </w:trPr>
        <w:tc>
          <w:tcPr>
            <w:tcW w:type="dxa" w:w="10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Soft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역할 적합성</w:t>
            </w:r>
          </w:p>
        </w:tc>
        <w:tc>
          <w:tcPr>
            <w:tcW w:type="dxa" w:w="6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영업·기술·경영진 역할과 미팅 의제의 적합도 반영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Soft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운영 품질</w:t>
            </w:r>
          </w:p>
        </w:tc>
        <w:tc>
          <w:tcPr>
            <w:tcW w:type="dxa" w:w="6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연속 미팅 수, 점심, 메모 작성시간, 일별 부하를 균형화</w:t>
            </w:r>
          </w:p>
        </w:tc>
      </w:tr>
      <w:tr>
        <w:trPr>
          <w:cantSplit/>
        </w:trPr>
        <w:tc>
          <w:tcPr>
            <w:tcW w:type="dxa" w:w="10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Soft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대체 가능성</w:t>
            </w:r>
          </w:p>
        </w:tc>
        <w:tc>
          <w:tcPr>
            <w:tcW w:type="dxa" w:w="6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취소 시 가까운 B등급 부스/세션으로 전환 가능한 옵션 확보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7.2 최적화 목적함수(개념)</w:t>
      </w:r>
    </w:p>
    <w:p>
      <w:pPr>
        <w:spacing w:before="80" w:after="180" w:line="269" w:lineRule="auto"/>
        <w:ind w:left="173" w:right="86"/>
        <w:shd w:fill="E7F3F2"/>
        <w:pBdr>
          <w:left w:val="single" w:sz="18" w:space="8" w:color="1B7F79"/>
        </w:pBdr>
      </w:pPr>
      <w:r>
        <w:rPr>
          <w:rFonts w:ascii="Noto Sans CJK SC" w:hAnsi="Noto Sans CJK SC" w:eastAsia="Noto Sans CJK SC"/>
          <w:b/>
          <w:color w:val="1B7F79"/>
          <w:sz w:val="21"/>
        </w:rPr>
        <w:t xml:space="preserve">목적함수  </w:t>
      </w:r>
      <w:r>
        <w:rPr>
          <w:rFonts w:ascii="Noto Sans CJK SC" w:hAnsi="Noto Sans CJK SC" w:eastAsia="Noto Sans CJK SC"/>
          <w:color w:val="1F2937"/>
          <w:sz w:val="21"/>
        </w:rPr>
        <w:t>Max Σ[배정 여부 × (기업 우선순위 + 세션 가치 + 담당자 적합도 + 확정 가능성)] − 이동시간 − 충돌 패널티 − 과부하 패널티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/>
          <w:i w:val="0"/>
          <w:color w:val="1F2937"/>
          <w:sz w:val="22"/>
        </w:rPr>
        <w:t>초기에는 OR-Tools 기반 Mixed Integer Programming/CP-SAT를 권장한다. 계산 결과와 함께 “왜 이 슬롯에 배정했는지”, “어떤 후보가 밀렸는지”, “제약을 풀면 어떤 대안이 가능한지”를 제공한다. 현장 변경 시에는 확정 일정은 고정하고 영향 구간만 재계산한다.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7.3 우선순위와 일정 가능성의 분리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Company Priority: 사업적으로 만나야 하는 정도. 행사 밖 후속 접촉에도 재사용 가능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Event Feasibility: 해당 행사에서 실제 만날 가능성과 비용. 부스 유무, 세션 참석, 거리, 가용시간 반영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Schedule Utility: Company Priority와 Event Feasibility를 결합해 이번 일정의 최종 효용 계산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8. 산출물 및 화면 예시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8.1 기업 추천 카드 예시(가상 데이터)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3100"/>
        <w:gridCol w:w="1900"/>
        <w:gridCol w:w="1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기업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매칭률/등급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핵심 추천 사유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리스크·공백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6"/>
              </w:rPr>
              <w:t>권장 미팅 목적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Alpha Mobility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91% / S</w:t>
            </w:r>
          </w:p>
        </w:tc>
        <w:tc>
          <w:tcPr>
            <w:tcW w:type="dxa" w:w="31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북미 신규 EV PGM, 2028 SOP, 고에너지밀도 요구; 내부 미접촉 영역</w:t>
            </w:r>
          </w:p>
        </w:tc>
        <w:tc>
          <w:tcPr>
            <w:tcW w:type="dxa" w:w="19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생산규모 미확정, 의사결정자 미식별</w:t>
            </w:r>
          </w:p>
        </w:tc>
        <w:tc>
          <w:tcPr>
            <w:tcW w:type="dxa" w:w="1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기술 적합성 검증 및 RFQ 타임라인 확인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Beta Energy</w:t>
            </w:r>
          </w:p>
        </w:tc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83% / A</w:t>
            </w:r>
          </w:p>
        </w:tc>
        <w:tc>
          <w:tcPr>
            <w:tcW w:type="dxa" w:w="31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상용 ESS 확대, 현지 공급망 전환, 재활용 연계 가능</w:t>
            </w:r>
          </w:p>
        </w:tc>
        <w:tc>
          <w:tcPr>
            <w:tcW w:type="dxa" w:w="19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가격 민감도 높음, 기존 경쟁 공급사 존재</w:t>
            </w:r>
          </w:p>
        </w:tc>
        <w:tc>
          <w:tcPr>
            <w:tcW w:type="dxa" w:w="1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TCO/현지화 차별점 및 파일럿 범위 논의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Gamma Robotics</w:t>
            </w:r>
          </w:p>
        </w:tc>
        <w:tc>
          <w:tcPr>
            <w:tcW w:type="dxa" w:w="1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72% / A</w:t>
            </w:r>
          </w:p>
        </w:tc>
        <w:tc>
          <w:tcPr>
            <w:tcW w:type="dxa" w:w="31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고출력 특수모빌리티, 공동개발 특허 증가</w:t>
            </w:r>
          </w:p>
        </w:tc>
        <w:tc>
          <w:tcPr>
            <w:tcW w:type="dxa" w:w="19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시장규모 작음, 안전 인증 요구 불명확</w:t>
            </w:r>
          </w:p>
        </w:tc>
        <w:tc>
          <w:tcPr>
            <w:tcW w:type="dxa" w:w="1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기술 PoC와 인증 요구사항 탐색</w:t>
            </w:r>
          </w:p>
        </w:tc>
      </w:tr>
    </w:tbl>
    <w:p>
      <w:pPr>
        <w:spacing w:after="40"/>
      </w:pPr>
    </w:p>
    <w:p>
      <w:pPr>
        <w:spacing w:before="0" w:after="160" w:line="264" w:lineRule="auto"/>
        <w:jc w:val="left"/>
      </w:pPr>
      <w:r>
        <w:rPr>
          <w:rFonts w:ascii="Noto Sans CJK SC" w:hAnsi="Noto Sans CJK SC" w:eastAsia="Noto Sans CJK SC"/>
          <w:i/>
          <w:color w:val="64748B"/>
          <w:sz w:val="22"/>
        </w:rPr>
        <w:t>주: 매칭률은 예시이며 실제 점수는 승인된 내부 데이터와 행사 기준일의 외부 근거로 산정한다.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8.2 1일차 일정 예시(가상 데이터)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1500"/>
        <w:gridCol w:w="2600"/>
        <w:gridCol w:w="1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시간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일정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장소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선정 이유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담당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09:00–09:30</w:t>
            </w:r>
          </w:p>
        </w:tc>
        <w:tc>
          <w:tcPr>
            <w:tcW w:type="dxa" w:w="2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Keynote: EV Supply Chain</w:t>
            </w:r>
          </w:p>
        </w:tc>
        <w:tc>
          <w:tcPr>
            <w:tcW w:type="dxa" w:w="15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Hall A</w:t>
            </w:r>
          </w:p>
        </w:tc>
        <w:tc>
          <w:tcPr>
            <w:tcW w:type="dxa" w:w="2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필수 세션</w:t>
            </w:r>
          </w:p>
        </w:tc>
        <w:tc>
          <w:tcPr>
            <w:tcW w:type="dxa" w:w="14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전원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09:30–09:45</w:t>
            </w:r>
          </w:p>
        </w:tc>
        <w:tc>
          <w:tcPr>
            <w:tcW w:type="dxa" w:w="2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이동/브리핑</w:t>
            </w:r>
          </w:p>
        </w:tc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A→B</w:t>
            </w:r>
          </w:p>
        </w:tc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15분 버퍼</w:t>
            </w:r>
          </w:p>
        </w:tc>
        <w:tc>
          <w:tcPr>
            <w:tcW w:type="dxa" w:w="14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전원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09:45–10:15</w:t>
            </w:r>
          </w:p>
        </w:tc>
        <w:tc>
          <w:tcPr>
            <w:tcW w:type="dxa" w:w="2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Alpha Mobility</w:t>
            </w:r>
          </w:p>
        </w:tc>
        <w:tc>
          <w:tcPr>
            <w:tcW w:type="dxa" w:w="15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B-214</w:t>
            </w:r>
          </w:p>
        </w:tc>
        <w:tc>
          <w:tcPr>
            <w:tcW w:type="dxa" w:w="2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S등급 · 기술/RFQ</w:t>
            </w:r>
          </w:p>
        </w:tc>
        <w:tc>
          <w:tcPr>
            <w:tcW w:type="dxa" w:w="14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영업+기술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10:15–10:30</w:t>
            </w:r>
          </w:p>
        </w:tc>
        <w:tc>
          <w:tcPr>
            <w:tcW w:type="dxa" w:w="2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메모/이동</w:t>
            </w:r>
          </w:p>
        </w:tc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B-214→C-110</w:t>
            </w:r>
          </w:p>
        </w:tc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15분 버퍼</w:t>
            </w:r>
          </w:p>
        </w:tc>
        <w:tc>
          <w:tcPr>
            <w:tcW w:type="dxa" w:w="14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영업+기술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10:30–11:00</w:t>
            </w:r>
          </w:p>
        </w:tc>
        <w:tc>
          <w:tcPr>
            <w:tcW w:type="dxa" w:w="2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Beta Energy</w:t>
            </w:r>
          </w:p>
        </w:tc>
        <w:tc>
          <w:tcPr>
            <w:tcW w:type="dxa" w:w="15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C-110</w:t>
            </w:r>
          </w:p>
        </w:tc>
        <w:tc>
          <w:tcPr>
            <w:tcW w:type="dxa" w:w="2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A등급 · ESS/현지화</w:t>
            </w:r>
          </w:p>
        </w:tc>
        <w:tc>
          <w:tcPr>
            <w:tcW w:type="dxa" w:w="14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사업개발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11:10–11:40</w:t>
            </w:r>
          </w:p>
        </w:tc>
        <w:tc>
          <w:tcPr>
            <w:tcW w:type="dxa" w:w="2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Battery Safety Session</w:t>
            </w:r>
          </w:p>
        </w:tc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Room 3</w:t>
            </w:r>
          </w:p>
        </w:tc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기술 세션</w:t>
            </w:r>
          </w:p>
        </w:tc>
        <w:tc>
          <w:tcPr>
            <w:tcW w:type="dxa" w:w="14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기술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11:00–11:30</w:t>
            </w:r>
          </w:p>
        </w:tc>
        <w:tc>
          <w:tcPr>
            <w:tcW w:type="dxa" w:w="2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Gamma Robotics</w:t>
            </w:r>
          </w:p>
        </w:tc>
        <w:tc>
          <w:tcPr>
            <w:tcW w:type="dxa" w:w="15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D-022</w:t>
            </w:r>
          </w:p>
        </w:tc>
        <w:tc>
          <w:tcPr>
            <w:tcW w:type="dxa" w:w="2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A등급 · 기술 PoC</w:t>
            </w:r>
          </w:p>
        </w:tc>
        <w:tc>
          <w:tcPr>
            <w:tcW w:type="dxa" w:w="14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영업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11:40–12:00</w:t>
            </w:r>
          </w:p>
        </w:tc>
        <w:tc>
          <w:tcPr>
            <w:tcW w:type="dxa" w:w="2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공동 Read-out</w:t>
            </w:r>
          </w:p>
        </w:tc>
        <w:tc>
          <w:tcPr>
            <w:tcW w:type="dxa" w:w="15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Meeting Hub</w:t>
            </w:r>
          </w:p>
        </w:tc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핵심 메모 통합</w:t>
            </w:r>
          </w:p>
        </w:tc>
        <w:tc>
          <w:tcPr>
            <w:tcW w:type="dxa" w:w="14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전원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8.3 기업별 미팅 브리핑 팩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60초 요약: 사업/기술/관계/이번 행사에서의 변화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당사 매칭 포인트: 제품/기술/지역/생산능력/전략 시너지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추천 근거: 외부 3건 이상, 내부 1건 이상, 기준일과 신뢰도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핵심 질문: 사실 확인, 니즈/타이밍, 의사결정 구조, Next Step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주의사항: 과거 논의, 가격/계약 민감사항, 경쟁사, 금지 표현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미팅 후 입력: 유효성, 다음 단계, 담당자, 기한, 예상 기회금액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9. 시스템 및 Agent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구성요소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역할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구현 포인트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Orchestrator</w:t>
            </w:r>
          </w:p>
        </w:tc>
        <w:tc>
          <w:tcPr>
            <w:tcW w:type="dxa" w:w="4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사용자 의도·행사·전략테마·제약조건 해석, 전체 작업 계획/상태 관리</w:t>
            </w:r>
          </w:p>
        </w:tc>
        <w:tc>
          <w:tcPr>
            <w:tcW w:type="dxa" w:w="29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질문 분해, 승인 게이트, 결과 조립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Event Agent</w:t>
            </w:r>
          </w:p>
        </w:tc>
        <w:tc>
          <w:tcPr>
            <w:tcW w:type="dxa" w:w="4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사이트/PDF에서 기업·부스·세션·연사·장소 추출</w:t>
            </w:r>
          </w:p>
        </w:tc>
        <w:tc>
          <w:tcPr>
            <w:tcW w:type="dxa" w:w="29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변경 감지, 구조화, 누락 점검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Company Research Agent</w:t>
            </w:r>
          </w:p>
        </w:tc>
        <w:tc>
          <w:tcPr>
            <w:tcW w:type="dxa" w:w="4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외부 시장·재무·뉴스·논문·특허 정보 수집</w:t>
            </w:r>
          </w:p>
        </w:tc>
        <w:tc>
          <w:tcPr>
            <w:tcW w:type="dxa" w:w="29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출처·기준일·신뢰도 부여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Internal Knowledge Agent</w:t>
            </w:r>
          </w:p>
        </w:tc>
        <w:tc>
          <w:tcPr>
            <w:tcW w:type="dxa" w:w="4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권한 범위 내 내부문서·메일·전략·포트폴리오 검색</w:t>
            </w:r>
          </w:p>
        </w:tc>
        <w:tc>
          <w:tcPr>
            <w:tcW w:type="dxa" w:w="29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RAG, 인용, 민감정보 마스킹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Matching Engine</w:t>
            </w:r>
          </w:p>
        </w:tc>
        <w:tc>
          <w:tcPr>
            <w:tcW w:type="dxa" w:w="4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Gate·가중치·리스크로 점수 계산, 추천/제외 사유 생성</w:t>
            </w:r>
          </w:p>
        </w:tc>
        <w:tc>
          <w:tcPr>
            <w:tcW w:type="dxa" w:w="29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결정론적 점수+LLM 설명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Schedule Optimizer</w:t>
            </w:r>
          </w:p>
        </w:tc>
        <w:tc>
          <w:tcPr>
            <w:tcW w:type="dxa" w:w="43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세션·동선·가용시간·팀원 역량 제약 최적화</w:t>
            </w:r>
          </w:p>
        </w:tc>
        <w:tc>
          <w:tcPr>
            <w:tcW w:type="dxa" w:w="29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CP-SAT, 대체안, 재최적화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Briefing/Follow-up Agent</w:t>
            </w:r>
          </w:p>
        </w:tc>
        <w:tc>
          <w:tcPr>
            <w:tcW w:type="dxa" w:w="43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미팅 브리핑, 질문지, 회의록, 후속메일/Next Action 생성</w:t>
            </w:r>
          </w:p>
        </w:tc>
        <w:tc>
          <w:tcPr>
            <w:tcW w:type="dxa" w:w="29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템플릿, 승인 후 저장/전송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9.1 권장 기술 구성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수집/파싱: Python 크롤러, 브라우저 자동화, PDF/OCR, 구조화 추출, 변경 감지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저장: 원문 Object Storage, 관계형 DB, Vector DB, 기업/관계 Knowledge Graph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분석: LLM+RAG, 규칙 엔진, Entity Resolution, 시계열/시장 신호 계산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최적화: OR-Tools CP-SAT, 지도/부스 동선 그래프, 캘린더 API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서비스: API Gateway, 워크플로 오케스트레이션, 권한/감사로그, 웹/모바일 UI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연계: 내부 문서저장소·메일·CRM/DW·캘린더; 연결 전 보안·라이선스 검토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9.2 비기능 요구사항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영역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요구사항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정확성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기업 중복/오식별 최소화, 근거 없는 결론 차단, 상충 정보 표시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추적성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답변 문장→Claim→Evidence→원문/권한 경로 추적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보안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SSO/RBAC/ABAC, 문서 원권한 계승, 다운로드/인용 통제, 감사로그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성능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행사 1,000개 기업 기준 증분 수집, Top 50 분석 우선 완료, 일정 재계산 수분 이내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복원력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웹 구조 변경·수집 실패·API 한도·문서 파싱 실패 시 재시도와 수동 보정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확장성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행사/산업/언어/평가 템플릿을 설정으로 확장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10. 핵심 데이터 모델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820"/>
        <w:gridCol w:w="289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Entity</w:t>
            </w:r>
          </w:p>
        </w:tc>
        <w:tc>
          <w:tcPr>
            <w:tcW w:type="dxa" w:w="4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핵심 속성</w:t>
            </w:r>
          </w:p>
        </w:tc>
        <w:tc>
          <w:tcPr>
            <w:tcW w:type="dxa" w:w="28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용도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Event</w:t>
            </w:r>
          </w:p>
        </w:tc>
        <w:tc>
          <w:tcPr>
            <w:tcW w:type="dxa" w:w="482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event_id, 기간, 장소, URL, 목적, 전략테마</w:t>
            </w:r>
          </w:p>
        </w:tc>
        <w:tc>
          <w:tcPr>
            <w:tcW w:type="dxa" w:w="289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Exhibitor/Session의 상위 단위</w:t>
            </w:r>
          </w:p>
        </w:tc>
      </w:tr>
      <w:tr>
        <w:trPr>
          <w:cantSplit/>
        </w:trPr>
        <w:tc>
          <w:tcPr>
            <w:tcW w:type="dxa" w:w="165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Exhibitor</w:t>
            </w:r>
          </w:p>
        </w:tc>
        <w:tc>
          <w:tcPr>
            <w:tcW w:type="dxa" w:w="482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event_id, company_id, 부스, 분류, 소개문구</w:t>
            </w:r>
          </w:p>
        </w:tc>
        <w:tc>
          <w:tcPr>
            <w:tcW w:type="dxa" w:w="289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표기와 Canonical Company 연결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Company</w:t>
            </w:r>
          </w:p>
        </w:tc>
        <w:tc>
          <w:tcPr>
            <w:tcW w:type="dxa" w:w="482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company_id, 법인/브랜드, 국가, 도메인, 모회사</w:t>
            </w:r>
          </w:p>
        </w:tc>
        <w:tc>
          <w:tcPr>
            <w:tcW w:type="dxa" w:w="289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모든 분석의 기준 키</w:t>
            </w:r>
          </w:p>
        </w:tc>
      </w:tr>
      <w:tr>
        <w:trPr>
          <w:cantSplit/>
        </w:trPr>
        <w:tc>
          <w:tcPr>
            <w:tcW w:type="dxa" w:w="165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Evidence</w:t>
            </w:r>
          </w:p>
        </w:tc>
        <w:tc>
          <w:tcPr>
            <w:tcW w:type="dxa" w:w="482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source, date, snippet, confidence, permission, freshness</w:t>
            </w:r>
          </w:p>
        </w:tc>
        <w:tc>
          <w:tcPr>
            <w:tcW w:type="dxa" w:w="289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Claim을 지지/반박하는 원문 근거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Claim</w:t>
            </w:r>
          </w:p>
        </w:tc>
        <w:tc>
          <w:tcPr>
            <w:tcW w:type="dxa" w:w="482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company_id, topic, statement, polarity, confidence</w:t>
            </w:r>
          </w:p>
        </w:tc>
        <w:tc>
          <w:tcPr>
            <w:tcW w:type="dxa" w:w="289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분석 가능한 사실/가설</w:t>
            </w:r>
          </w:p>
        </w:tc>
      </w:tr>
      <w:tr>
        <w:trPr>
          <w:cantSplit/>
        </w:trPr>
        <w:tc>
          <w:tcPr>
            <w:tcW w:type="dxa" w:w="165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Match</w:t>
            </w:r>
          </w:p>
        </w:tc>
        <w:tc>
          <w:tcPr>
            <w:tcW w:type="dxa" w:w="482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theme, factor scores, gate, penalty, total, grade</w:t>
            </w:r>
          </w:p>
        </w:tc>
        <w:tc>
          <w:tcPr>
            <w:tcW w:type="dxa" w:w="289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버전·가중치·사유 저장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Session</w:t>
            </w:r>
          </w:p>
        </w:tc>
        <w:tc>
          <w:tcPr>
            <w:tcW w:type="dxa" w:w="482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시간, 장소, 연사, 기업, 주제, 중요도</w:t>
            </w:r>
          </w:p>
        </w:tc>
        <w:tc>
          <w:tcPr>
            <w:tcW w:type="dxa" w:w="289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일정 고정/선택 이벤트</w:t>
            </w:r>
          </w:p>
        </w:tc>
      </w:tr>
      <w:tr>
        <w:trPr>
          <w:cantSplit/>
        </w:trPr>
        <w:tc>
          <w:tcPr>
            <w:tcW w:type="dxa" w:w="165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Meeting</w:t>
            </w:r>
          </w:p>
        </w:tc>
        <w:tc>
          <w:tcPr>
            <w:tcW w:type="dxa" w:w="482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company, purpose, attendees, duration, status</w:t>
            </w:r>
          </w:p>
        </w:tc>
        <w:tc>
          <w:tcPr>
            <w:tcW w:type="dxa" w:w="289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가용 슬롯과 확정 상태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Outcome</w:t>
            </w:r>
          </w:p>
        </w:tc>
        <w:tc>
          <w:tcPr>
            <w:tcW w:type="dxa" w:w="482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acceptance, quality, opportunity_stage, value, next_action</w:t>
            </w:r>
          </w:p>
        </w:tc>
        <w:tc>
          <w:tcPr>
            <w:tcW w:type="dxa" w:w="289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추천 학습과 ROI 측정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10.1 Human-in-the-Loop 승인 지점</w:t>
      </w:r>
    </w:p>
    <w:p>
      <w:pPr>
        <w:pStyle w:val="CustomNumber"/>
        <w:numPr>
          <w:ilvl w:val="0"/>
          <w:numId w:val="15"/>
        </w:numPr>
      </w:pPr>
      <w:r>
        <w:rPr>
          <w:rFonts w:ascii="Noto Sans CJK SC" w:hAnsi="Noto Sans CJK SC" w:eastAsia="Noto Sans CJK SC"/>
          <w:color w:val="1F2937"/>
          <w:sz w:val="22"/>
        </w:rPr>
        <w:t>행사 목적/전략 테마 승인: 무엇을 찾을지 먼저 고정한다.</w:t>
      </w:r>
    </w:p>
    <w:p>
      <w:pPr>
        <w:pStyle w:val="CustomNumber"/>
        <w:numPr>
          <w:ilvl w:val="0"/>
          <w:numId w:val="15"/>
        </w:numPr>
      </w:pPr>
      <w:r>
        <w:rPr>
          <w:rFonts w:ascii="Noto Sans CJK SC" w:hAnsi="Noto Sans CJK SC" w:eastAsia="Noto Sans CJK SC"/>
          <w:color w:val="1F2937"/>
          <w:sz w:val="22"/>
        </w:rPr>
        <w:t>Top 후보 승인: 현업이 추천·제외 사유를 수정하고 중요도를 확정한다.</w:t>
      </w:r>
    </w:p>
    <w:p>
      <w:pPr>
        <w:pStyle w:val="CustomNumber"/>
        <w:numPr>
          <w:ilvl w:val="0"/>
          <w:numId w:val="15"/>
        </w:numPr>
      </w:pPr>
      <w:r>
        <w:rPr>
          <w:rFonts w:ascii="Noto Sans CJK SC" w:hAnsi="Noto Sans CJK SC" w:eastAsia="Noto Sans CJK SC"/>
          <w:color w:val="1F2937"/>
          <w:sz w:val="22"/>
        </w:rPr>
        <w:t>대외 접촉 승인: 연락처 사용, 미팅 요청, 캘린더 발송은 담당자 승인 후 실행한다.</w:t>
      </w:r>
    </w:p>
    <w:p>
      <w:pPr>
        <w:pStyle w:val="CustomNumber"/>
        <w:numPr>
          <w:ilvl w:val="0"/>
          <w:numId w:val="15"/>
        </w:numPr>
      </w:pPr>
      <w:r>
        <w:rPr>
          <w:rFonts w:ascii="Noto Sans CJK SC" w:hAnsi="Noto Sans CJK SC" w:eastAsia="Noto Sans CJK SC"/>
          <w:color w:val="1F2937"/>
          <w:sz w:val="22"/>
        </w:rPr>
        <w:t>민감정보 승인: 가격·수익성·생산제약은 역할과 상황에 따라 최소 범위로 노출한다.</w:t>
      </w:r>
    </w:p>
    <w:p>
      <w:pPr>
        <w:pStyle w:val="CustomNumber"/>
        <w:numPr>
          <w:ilvl w:val="0"/>
          <w:numId w:val="15"/>
        </w:numPr>
      </w:pPr>
      <w:r>
        <w:rPr>
          <w:rFonts w:ascii="Noto Sans CJK SC" w:hAnsi="Noto Sans CJK SC" w:eastAsia="Noto Sans CJK SC"/>
          <w:color w:val="1F2937"/>
          <w:sz w:val="22"/>
        </w:rPr>
        <w:t>사후 결과 승인: 회의록·기회금액·Next Action을 계정 담당자가 확정한다.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11. 보안·컴플라이언스·거버넌스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통제영역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정책/요구사항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접근통제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원문 저장소 권한을 검색·요약·인용 단계까지 계승; 역할/고객/프로젝트 기반 통제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데이터 분류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공개/사내/고객기밀/고민감(가격·원가·수익성) 등급과 처리정책 정의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외부 수집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robots.txt, 이용약관, 저작권, 개인정보, API 라이선스 검토; 수집 원문/시점 기록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개인정보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연락처는 업무 목적·최소수집·보존기간·삭제정책 적용; 민감 개인 프로파일링 금지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모델 통제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프롬프트/모델/가중치 버전, 답변근거, 사용자 승인·수정 이력을 감사 가능하게 저장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환각 방지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근거 없는 점수요소는 0 또는 미확인 처리; 추정과 사실을 구분하고 신뢰도 표시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정보 유출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외부 모델 전송 금지 데이터 정의, 마스킹/DLP, 다운로드·복사·공유 통제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책임소재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AI는 추천·초안 제공, 고객 접촉·약속·가격 제안·최종 일정 확정은 사람 승인</w:t>
            </w:r>
          </w:p>
        </w:tc>
      </w:tr>
    </w:tbl>
    <w:p>
      <w:pPr>
        <w:spacing w:after="40"/>
      </w:pPr>
    </w:p>
    <w:p>
      <w:pPr>
        <w:spacing w:before="80" w:after="180" w:line="269" w:lineRule="auto"/>
        <w:ind w:left="173" w:right="86"/>
        <w:shd w:fill="FFF0F0"/>
        <w:pBdr>
          <w:left w:val="single" w:sz="18" w:space="8" w:color="9B1C1C"/>
        </w:pBdr>
      </w:pPr>
      <w:r>
        <w:rPr>
          <w:rFonts w:ascii="Noto Sans CJK SC" w:hAnsi="Noto Sans CJK SC" w:eastAsia="Noto Sans CJK SC"/>
          <w:b/>
          <w:color w:val="9B1C1C"/>
          <w:sz w:val="21"/>
        </w:rPr>
        <w:t xml:space="preserve">필수 원칙  </w:t>
      </w:r>
      <w:r>
        <w:rPr>
          <w:rFonts w:ascii="Noto Sans CJK SC" w:hAnsi="Noto Sans CJK SC" w:eastAsia="Noto Sans CJK SC"/>
          <w:color w:val="1F2937"/>
          <w:sz w:val="21"/>
        </w:rPr>
        <w:t>내부문서를 한곳에 복제해 권한을 단순화하지 않는다. 검색 결과도 원문 권한을 계승하고, 사용자가 열람할 수 없는 근거는 답변 생성에 사용하지 않거나 비식별 집계만 사용한다.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12. 구축 로드맵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00"/>
        <w:gridCol w:w="4400"/>
        <w:gridCol w:w="27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단계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기간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핵심 범위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Exit 산출물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0. 사전정의</w:t>
            </w:r>
          </w:p>
        </w:tc>
        <w:tc>
          <w:tcPr>
            <w:tcW w:type="dxa" w:w="9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2주</w:t>
            </w:r>
          </w:p>
        </w:tc>
        <w:tc>
          <w:tcPr>
            <w:tcW w:type="dxa" w:w="44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대표 행사/사용자/전략테마 선정, 데이터·보안 검토, 성공기준 확정</w:t>
            </w:r>
          </w:p>
        </w:tc>
        <w:tc>
          <w:tcPr>
            <w:tcW w:type="dxa" w:w="27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PoC Charter, 데이터 목록, 평가셋</w:t>
            </w:r>
          </w:p>
        </w:tc>
      </w:tr>
      <w:tr>
        <w:trPr>
          <w:cantSplit/>
        </w:trPr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1. PoC</w:t>
            </w:r>
          </w:p>
        </w:tc>
        <w:tc>
          <w:tcPr>
            <w:tcW w:type="dxa" w:w="9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4주</w:t>
            </w:r>
          </w:p>
        </w:tc>
        <w:tc>
          <w:tcPr>
            <w:tcW w:type="dxa" w:w="44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추출, 외부 리서치, 제한된 내부문서 RAG, 규칙형 매칭, 단일 일정</w:t>
            </w:r>
          </w:p>
        </w:tc>
        <w:tc>
          <w:tcPr>
            <w:tcW w:type="dxa" w:w="27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Top 후보·근거·일정 시연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2. MVP</w:t>
            </w:r>
          </w:p>
        </w:tc>
        <w:tc>
          <w:tcPr>
            <w:tcW w:type="dxa" w:w="9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6주</w:t>
            </w:r>
          </w:p>
        </w:tc>
        <w:tc>
          <w:tcPr>
            <w:tcW w:type="dxa" w:w="44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 식별 고도화, 권한 연계, Company 360 UI, CP-SAT 일정, 피드백 저장</w:t>
            </w:r>
          </w:p>
        </w:tc>
        <w:tc>
          <w:tcPr>
            <w:tcW w:type="dxa" w:w="27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현업 사용자 파일럿</w:t>
            </w:r>
          </w:p>
        </w:tc>
      </w:tr>
      <w:tr>
        <w:trPr>
          <w:cantSplit/>
        </w:trPr>
        <w:tc>
          <w:tcPr>
            <w:tcW w:type="dxa" w:w="13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3. Pilot</w:t>
            </w:r>
          </w:p>
        </w:tc>
        <w:tc>
          <w:tcPr>
            <w:tcW w:type="dxa" w:w="9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8주</w:t>
            </w:r>
          </w:p>
        </w:tc>
        <w:tc>
          <w:tcPr>
            <w:tcW w:type="dxa" w:w="44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2~3개 행사 적용, 메일/캘린더/CRM 연계, 운영 모니터링, 품질 보정</w:t>
            </w:r>
          </w:p>
        </w:tc>
        <w:tc>
          <w:tcPr>
            <w:tcW w:type="dxa" w:w="27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운영 KPI·ROI 검증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4. Scale-up</w:t>
            </w:r>
          </w:p>
        </w:tc>
        <w:tc>
          <w:tcPr>
            <w:tcW w:type="dxa" w:w="9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분기</w:t>
            </w:r>
          </w:p>
        </w:tc>
        <w:tc>
          <w:tcPr>
            <w:tcW w:type="dxa" w:w="44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다국어/다산업, 유료 DB, 성과학습, 복수팀 최적화, 표준 운영체계</w:t>
            </w:r>
          </w:p>
        </w:tc>
        <w:tc>
          <w:tcPr>
            <w:tcW w:type="dxa" w:w="27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전사/본부 확산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12.1 PoC 권장 범위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대표 박람회 1개: 참가기업 300~1,000개, 세션/부스 정보가 공개된 행사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전략 테마 2개: 예) 신규 OEM/PGM 발굴, ESS·신사업 파트너 발굴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내부 데이터 3종: 제품/기술 포트폴리오, 고객전략, 최근 접촉·프로젝트 문서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사용자 5~10명: 영업기획, 계정영업, 기술영업, 수주전략/사업개발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평가셋: 과거 담당자 추천 Top 30, 제외 기업, 실제 미팅·기회전환 결과 일부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12.2 PoC 상세 완료기준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평가영역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완료기준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검증방법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추출</w:t>
            </w:r>
          </w:p>
        </w:tc>
        <w:tc>
          <w:tcPr>
            <w:tcW w:type="dxa" w:w="51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참가기업 레코드 추출 재현율 95% 이상, 주요 필드 정확도 95% 이상</w:t>
            </w:r>
          </w:p>
        </w:tc>
        <w:tc>
          <w:tcPr>
            <w:tcW w:type="dxa" w:w="26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샘플 100개 수동검수</w:t>
            </w:r>
          </w:p>
        </w:tc>
      </w:tr>
      <w:tr>
        <w:trPr>
          <w:cantSplit/>
        </w:trPr>
        <w:tc>
          <w:tcPr>
            <w:tcW w:type="dxa" w:w="1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 식별</w:t>
            </w:r>
          </w:p>
        </w:tc>
        <w:tc>
          <w:tcPr>
            <w:tcW w:type="dxa" w:w="51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중복 통합/법인 연결 정밀도 95% 이상</w:t>
            </w:r>
          </w:p>
        </w:tc>
        <w:tc>
          <w:tcPr>
            <w:tcW w:type="dxa" w:w="26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골든셋 비교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근거 품질</w:t>
            </w:r>
          </w:p>
        </w:tc>
        <w:tc>
          <w:tcPr>
            <w:tcW w:type="dxa" w:w="51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S/A 후보 추천 사유의 출처·기준일 연결률 100%</w:t>
            </w:r>
          </w:p>
        </w:tc>
        <w:tc>
          <w:tcPr>
            <w:tcW w:type="dxa" w:w="26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Evidence 링크 점검</w:t>
            </w:r>
          </w:p>
        </w:tc>
      </w:tr>
      <w:tr>
        <w:trPr>
          <w:cantSplit/>
        </w:trPr>
        <w:tc>
          <w:tcPr>
            <w:tcW w:type="dxa" w:w="1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추천 유효성</w:t>
            </w:r>
          </w:p>
        </w:tc>
        <w:tc>
          <w:tcPr>
            <w:tcW w:type="dxa" w:w="51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Top 10 현업 수용률 70% 이상, 신규 유효 후보 2개 이상</w:t>
            </w:r>
          </w:p>
        </w:tc>
        <w:tc>
          <w:tcPr>
            <w:tcW w:type="dxa" w:w="26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사용자 평가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일정 품질</w:t>
            </w:r>
          </w:p>
        </w:tc>
        <w:tc>
          <w:tcPr>
            <w:tcW w:type="dxa" w:w="51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하드 제약 위반 0건, 수동 조정시간 50% 이상 감소</w:t>
            </w:r>
          </w:p>
        </w:tc>
        <w:tc>
          <w:tcPr>
            <w:tcW w:type="dxa" w:w="26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기존 방식 비교</w:t>
            </w:r>
          </w:p>
        </w:tc>
      </w:tr>
      <w:tr>
        <w:trPr>
          <w:cantSplit/>
        </w:trPr>
        <w:tc>
          <w:tcPr>
            <w:tcW w:type="dxa" w:w="1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보안</w:t>
            </w:r>
          </w:p>
        </w:tc>
        <w:tc>
          <w:tcPr>
            <w:tcW w:type="dxa" w:w="51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권한 밖 원문/인용 노출 0건, 감사로그 100%</w:t>
            </w:r>
          </w:p>
        </w:tc>
        <w:tc>
          <w:tcPr>
            <w:tcW w:type="dxa" w:w="26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권한 시나리오 테스트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13. KPI 및 기대효과 측정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2600"/>
        <w:gridCol w:w="2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구분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KPI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초기 목표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측정 데이터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효율</w:t>
            </w:r>
          </w:p>
        </w:tc>
        <w:tc>
          <w:tcPr>
            <w:tcW w:type="dxa" w:w="3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1건당 준비 리드타임</w:t>
            </w:r>
          </w:p>
        </w:tc>
        <w:tc>
          <w:tcPr>
            <w:tcW w:type="dxa" w:w="2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기존 대비 50% 이상 단축</w:t>
            </w:r>
          </w:p>
        </w:tc>
        <w:tc>
          <w:tcPr>
            <w:tcW w:type="dxa" w:w="26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작업 로그/인터뷰</w:t>
            </w:r>
          </w:p>
        </w:tc>
      </w:tr>
      <w:tr>
        <w:trPr>
          <w:cantSplit/>
        </w:trPr>
        <w:tc>
          <w:tcPr>
            <w:tcW w:type="dxa" w:w="11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커버리지</w:t>
            </w:r>
          </w:p>
        </w:tc>
        <w:tc>
          <w:tcPr>
            <w:tcW w:type="dxa" w:w="3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전체 참가기업 중 분석 완료율</w:t>
            </w:r>
          </w:p>
        </w:tc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95% 이상</w:t>
            </w:r>
          </w:p>
        </w:tc>
        <w:tc>
          <w:tcPr>
            <w:tcW w:type="dxa" w:w="26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마스터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추천</w:t>
            </w:r>
          </w:p>
        </w:tc>
        <w:tc>
          <w:tcPr>
            <w:tcW w:type="dxa" w:w="3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Top 10 수용률 / 신규 유효 후보</w:t>
            </w:r>
          </w:p>
        </w:tc>
        <w:tc>
          <w:tcPr>
            <w:tcW w:type="dxa" w:w="2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70% 이상 / 2개 이상</w:t>
            </w:r>
          </w:p>
        </w:tc>
        <w:tc>
          <w:tcPr>
            <w:tcW w:type="dxa" w:w="26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현업 라벨</w:t>
            </w:r>
          </w:p>
        </w:tc>
      </w:tr>
      <w:tr>
        <w:trPr>
          <w:cantSplit/>
        </w:trPr>
        <w:tc>
          <w:tcPr>
            <w:tcW w:type="dxa" w:w="11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실행</w:t>
            </w:r>
          </w:p>
        </w:tc>
        <w:tc>
          <w:tcPr>
            <w:tcW w:type="dxa" w:w="3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미팅 확정률 / 일정 제약 위반</w:t>
            </w:r>
          </w:p>
        </w:tc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행사별 기준선 개선 / 0건</w:t>
            </w:r>
          </w:p>
        </w:tc>
        <w:tc>
          <w:tcPr>
            <w:tcW w:type="dxa" w:w="26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캘린더/일정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기회</w:t>
            </w:r>
          </w:p>
        </w:tc>
        <w:tc>
          <w:tcPr>
            <w:tcW w:type="dxa" w:w="3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유효기회·RFQ 전환율</w:t>
            </w:r>
          </w:p>
        </w:tc>
        <w:tc>
          <w:tcPr>
            <w:tcW w:type="dxa" w:w="2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기존 행사 대비 개선</w:t>
            </w:r>
          </w:p>
        </w:tc>
        <w:tc>
          <w:tcPr>
            <w:tcW w:type="dxa" w:w="26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CRM/기회관리</w:t>
            </w:r>
          </w:p>
        </w:tc>
      </w:tr>
      <w:tr>
        <w:trPr>
          <w:cantSplit/>
        </w:trPr>
        <w:tc>
          <w:tcPr>
            <w:tcW w:type="dxa" w:w="11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품질</w:t>
            </w:r>
          </w:p>
        </w:tc>
        <w:tc>
          <w:tcPr>
            <w:tcW w:type="dxa" w:w="30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근거 연결률 / 최신성 충족률</w:t>
            </w:r>
          </w:p>
        </w:tc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100% / 95% 이상</w:t>
            </w:r>
          </w:p>
        </w:tc>
        <w:tc>
          <w:tcPr>
            <w:tcW w:type="dxa" w:w="26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Evidence 감사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사용성</w:t>
            </w:r>
          </w:p>
        </w:tc>
        <w:tc>
          <w:tcPr>
            <w:tcW w:type="dxa" w:w="30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추천 수정률·재사용률·만족도</w:t>
            </w:r>
          </w:p>
        </w:tc>
        <w:tc>
          <w:tcPr>
            <w:tcW w:type="dxa" w:w="26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목표는 Pilot에서 기준선 수립</w:t>
            </w:r>
          </w:p>
        </w:tc>
        <w:tc>
          <w:tcPr>
            <w:tcW w:type="dxa" w:w="26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사용 로그/설문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13.1 기대효과 산정식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시간효과 = (기존 준비시간 − 시스템 적용 후 준비시간) × 참여 인원 × 인건비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기회효과 = 추가 유효기회 수 × 단계별 기대전환율 × 평균 기회가치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품질효과 = 누락/중복 감소 + 추천 근거 표준화 + 일정 충돌 감소의 비용 회피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학습효과 = 행사별 결과 데이터 축적으로 고객전략·시장 인텔리전스 자산화</w:t>
      </w:r>
    </w:p>
    <w:p>
      <w:pPr>
        <w:spacing w:before="0" w:after="120" w:line="264" w:lineRule="auto"/>
        <w:jc w:val="left"/>
      </w:pPr>
      <w:r>
        <w:rPr>
          <w:rFonts w:ascii="Noto Sans CJK SC" w:hAnsi="Noto Sans CJK SC" w:eastAsia="Noto Sans CJK SC"/>
          <w:i/>
          <w:color w:val="64748B"/>
          <w:sz w:val="22"/>
        </w:rPr>
        <w:t>PoC 단계에서는 과장된 매출효과보다 준비시간, 후보 커버리지, 추천 수용률, 일정 제약 위반 등 선행지표를 우선 측정한다. 기회가치와 매출효과는 Pilot 이후 실제 CRM 단계 변화를 기준으로 산정한다.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14. 운영체계와 역할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역할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권장 주관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주요 책임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Product Owner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Sales기획/전략</w:t>
            </w:r>
          </w:p>
        </w:tc>
        <w:tc>
          <w:tcPr>
            <w:tcW w:type="dxa" w:w="53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사용자 목표·전략테마·우선순위·KPI 승인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Business SME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계정영업/기술영업/사업개발</w:t>
            </w:r>
          </w:p>
        </w:tc>
        <w:tc>
          <w:tcPr>
            <w:tcW w:type="dxa" w:w="53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추천 기준, 골든셋, 결과 검토, 사후 라벨링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Data Owner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전략/재무/R&amp;D/IT</w:t>
            </w:r>
          </w:p>
        </w:tc>
        <w:tc>
          <w:tcPr>
            <w:tcW w:type="dxa" w:w="53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원천 정의, 품질, 권한, 갱신주기 승인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AI/Data Team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AI·데이터 조직</w:t>
            </w:r>
          </w:p>
        </w:tc>
        <w:tc>
          <w:tcPr>
            <w:tcW w:type="dxa" w:w="53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수집/RAG/Entity Resolution/평가/모니터링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Platform/IT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IT/인프라</w:t>
            </w:r>
          </w:p>
        </w:tc>
        <w:tc>
          <w:tcPr>
            <w:tcW w:type="dxa" w:w="53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계정, 보안, API, 배포, 장애대응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Security/Legal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정보보호/법무</w:t>
            </w:r>
          </w:p>
        </w:tc>
        <w:tc>
          <w:tcPr>
            <w:tcW w:type="dxa" w:w="53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외부 수집, 개인정보, 모델/데이터 반출 통제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Steering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Sales·R&amp;D·IT 리더</w:t>
            </w:r>
          </w:p>
        </w:tc>
        <w:tc>
          <w:tcPr>
            <w:tcW w:type="dxa" w:w="53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PoC Exit, 확산범위, 예산, 우선순위 결정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14.1 운영 리듬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행사 D-30: 목적·테마·참석자 확정 및 데이터 수집 시작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D-14: Top 후보 1차 리뷰 및 데이터 공백 해소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D-7: 미팅 요청·필수 세션·일정 제약 확정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D-1: 최종 브리핑 팩 배포 및 대체 시나리오 승인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D+3: 미팅 결과/Next Action 입력, 추천오류 리뷰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D+14: KPI와 기회전환 리뷰, 가중치/전략 템플릿 업데이트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15. 주요 리스크 및 대응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700"/>
        <w:gridCol w:w="2200"/>
        <w:gridCol w:w="38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리스크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수준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영향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7"/>
              </w:rPr>
              <w:t>대응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행사 사이트 구조 변경/차단</w:t>
            </w:r>
          </w:p>
        </w:tc>
        <w:tc>
          <w:tcPr>
            <w:tcW w:type="dxa" w:w="7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상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수집 실패·누락</w:t>
            </w:r>
          </w:p>
        </w:tc>
        <w:tc>
          <w:tcPr>
            <w:tcW w:type="dxa" w:w="38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API/PDF/수동 업로드 대체경로, 변경 감지, 샘플 검수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기업명 중복·법인 오식별</w:t>
            </w:r>
          </w:p>
        </w:tc>
        <w:tc>
          <w:tcPr>
            <w:tcW w:type="dxa" w:w="7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상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잘못된 내부정보 매칭</w:t>
            </w:r>
          </w:p>
        </w:tc>
        <w:tc>
          <w:tcPr>
            <w:tcW w:type="dxa" w:w="38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도메인/국가/모회사 다중키, 골든셋, 수동 병합 승인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내부문서 최신성/정합성</w:t>
            </w:r>
          </w:p>
        </w:tc>
        <w:tc>
          <w:tcPr>
            <w:tcW w:type="dxa" w:w="7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상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오래된 전략·가격 사용</w:t>
            </w:r>
          </w:p>
        </w:tc>
        <w:tc>
          <w:tcPr>
            <w:tcW w:type="dxa" w:w="38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속성별 유효기간, 최신 문서 우선, 상충 표시, 소유자 승인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근거 없는 LLM 결론</w:t>
            </w:r>
          </w:p>
        </w:tc>
        <w:tc>
          <w:tcPr>
            <w:tcW w:type="dxa" w:w="7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상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추천 신뢰도 하락</w:t>
            </w:r>
          </w:p>
        </w:tc>
        <w:tc>
          <w:tcPr>
            <w:tcW w:type="dxa" w:w="38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Evidence 없는 Claim 차단, 인용 필수, 결정론적 점수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민감정보 노출</w:t>
            </w:r>
          </w:p>
        </w:tc>
        <w:tc>
          <w:tcPr>
            <w:tcW w:type="dxa" w:w="7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상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고객/가격/원가 유출</w:t>
            </w:r>
          </w:p>
        </w:tc>
        <w:tc>
          <w:tcPr>
            <w:tcW w:type="dxa" w:w="38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원권한 계승, DLP/마스킹, 역할별 응답, 감사로그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점수 편향/인지도 편향</w:t>
            </w:r>
          </w:p>
        </w:tc>
        <w:tc>
          <w:tcPr>
            <w:tcW w:type="dxa" w:w="7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중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대기업 쏠림, 신규기업 누락</w:t>
            </w:r>
          </w:p>
        </w:tc>
        <w:tc>
          <w:tcPr>
            <w:tcW w:type="dxa" w:w="38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관계 공백·신규성 축 분리, 탐색 슬롯, 다양성 제약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일정 과최적화</w:t>
            </w:r>
          </w:p>
        </w:tc>
        <w:tc>
          <w:tcPr>
            <w:tcW w:type="dxa" w:w="7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중</w:t>
            </w:r>
          </w:p>
        </w:tc>
        <w:tc>
          <w:tcPr>
            <w:tcW w:type="dxa" w:w="22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현장 지연에 취약</w:t>
            </w:r>
          </w:p>
        </w:tc>
        <w:tc>
          <w:tcPr>
            <w:tcW w:type="dxa" w:w="38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이동·메모 버퍼, 취소 대체안, 부분 재최적화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성과 측정 지연</w:t>
            </w:r>
          </w:p>
        </w:tc>
        <w:tc>
          <w:tcPr>
            <w:tcW w:type="dxa" w:w="7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중</w:t>
            </w:r>
          </w:p>
        </w:tc>
        <w:tc>
          <w:tcPr>
            <w:tcW w:type="dxa" w:w="22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ROI 판단 어려움</w:t>
            </w:r>
          </w:p>
        </w:tc>
        <w:tc>
          <w:tcPr>
            <w:tcW w:type="dxa" w:w="38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선행 KPI와 전환 KPI 분리, 2~3개 행사 누적 평가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16. 의사결정 요청 및 착수 체크리스트</w:t>
      </w:r>
    </w:p>
    <w:p>
      <w:pPr>
        <w:spacing w:before="80" w:after="180" w:line="269" w:lineRule="auto"/>
        <w:ind w:left="173" w:right="86"/>
        <w:shd w:fill="E7F3F2"/>
        <w:pBdr>
          <w:left w:val="single" w:sz="18" w:space="8" w:color="1B7F79"/>
        </w:pBdr>
      </w:pPr>
      <w:r>
        <w:rPr>
          <w:rFonts w:ascii="Noto Sans CJK SC" w:hAnsi="Noto Sans CJK SC" w:eastAsia="Noto Sans CJK SC"/>
          <w:b/>
          <w:color w:val="1B7F79"/>
          <w:sz w:val="21"/>
        </w:rPr>
        <w:t xml:space="preserve">권고안  </w:t>
      </w:r>
      <w:r>
        <w:rPr>
          <w:rFonts w:ascii="Noto Sans CJK SC" w:hAnsi="Noto Sans CJK SC" w:eastAsia="Noto Sans CJK SC"/>
          <w:color w:val="1F2937"/>
          <w:sz w:val="21"/>
        </w:rPr>
        <w:t>“대표 행사 1개 × 전략테마 2개 × 내부데이터 3종 × 사용자 5~10명” 범위의 6주 PoC로 시작하고, Top 10 추천 수용률과 하드 제약 위반 0건을 핵심 Exit 기준으로 적용한다.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착수 전 의사결정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500"/>
        <w:gridCol w:w="61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No.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결정 항목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확인 내용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1</w:t>
            </w:r>
          </w:p>
        </w:tc>
        <w:tc>
          <w:tcPr>
            <w:tcW w:type="dxa" w:w="25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대표 박람회와 행사 URL</w:t>
            </w:r>
          </w:p>
        </w:tc>
        <w:tc>
          <w:tcPr>
            <w:tcW w:type="dxa" w:w="6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참가기업·세션·부스 데이터 공개 수준 확인</w:t>
            </w:r>
          </w:p>
        </w:tc>
      </w:tr>
      <w:tr>
        <w:trPr>
          <w:cantSplit/>
        </w:trPr>
        <w:tc>
          <w:tcPr>
            <w:tcW w:type="dxa" w:w="7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2</w:t>
            </w:r>
          </w:p>
        </w:tc>
        <w:tc>
          <w:tcPr>
            <w:tcW w:type="dxa" w:w="25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전략 테마와 제외조건</w:t>
            </w:r>
          </w:p>
        </w:tc>
        <w:tc>
          <w:tcPr>
            <w:tcW w:type="dxa" w:w="6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예: 신규 OEM/PGM, ESS, 소재/재활용, 특정 지역/규제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3</w:t>
            </w:r>
          </w:p>
        </w:tc>
        <w:tc>
          <w:tcPr>
            <w:tcW w:type="dxa" w:w="25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PoC 내부 데이터</w:t>
            </w:r>
          </w:p>
        </w:tc>
        <w:tc>
          <w:tcPr>
            <w:tcW w:type="dxa" w:w="6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문서 3종의 소유자·권한·최신성·반출 기준</w:t>
            </w:r>
          </w:p>
        </w:tc>
      </w:tr>
      <w:tr>
        <w:trPr>
          <w:cantSplit/>
        </w:trPr>
        <w:tc>
          <w:tcPr>
            <w:tcW w:type="dxa" w:w="7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4</w:t>
            </w:r>
          </w:p>
        </w:tc>
        <w:tc>
          <w:tcPr>
            <w:tcW w:type="dxa" w:w="25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사용자와 참석자 역할</w:t>
            </w:r>
          </w:p>
        </w:tc>
        <w:tc>
          <w:tcPr>
            <w:tcW w:type="dxa" w:w="6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영업/기술/경영진의 가용시간과 미팅 유형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5</w:t>
            </w:r>
          </w:p>
        </w:tc>
        <w:tc>
          <w:tcPr>
            <w:tcW w:type="dxa" w:w="250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골든셋/평가방식</w:t>
            </w:r>
          </w:p>
        </w:tc>
        <w:tc>
          <w:tcPr>
            <w:tcW w:type="dxa" w:w="61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과거 추천·실제 미팅·유효기회 자료와 현업 평가자</w:t>
            </w:r>
          </w:p>
        </w:tc>
      </w:tr>
      <w:tr>
        <w:trPr>
          <w:cantSplit/>
        </w:trPr>
        <w:tc>
          <w:tcPr>
            <w:tcW w:type="dxa" w:w="7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6</w:t>
            </w:r>
          </w:p>
        </w:tc>
        <w:tc>
          <w:tcPr>
            <w:tcW w:type="dxa" w:w="250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대외 실행 범위</w:t>
            </w:r>
          </w:p>
        </w:tc>
        <w:tc>
          <w:tcPr>
            <w:tcW w:type="dxa" w:w="61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추천·일정 초안까지만 또는 미팅 요청/캘린더 연계까지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1F2937"/>
          <w:sz w:val="22"/>
        </w:rPr>
        <w:t>착수 산출물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PoC Charter: 사용자, 행사, 전략테마, 범위, KPI, 일정, 책임자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Data Contract: 원천, 필드, 소유자, 권한, 갱신주기, 품질규칙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Scoring Template: 평가축, Gate, 가중치, 패널티, 등급, 승인자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Golden Set: 우선/제외 기업과 사유, 과거 미팅·기회 결과</w:t>
      </w:r>
    </w:p>
    <w:p>
      <w:pPr>
        <w:pStyle w:val="CustomBullet"/>
        <w:ind w:left="720" w:hanging="360"/>
      </w:pPr>
      <w:r>
        <w:rPr>
          <w:rFonts w:ascii="Noto Sans CJK SC" w:hAnsi="Noto Sans CJK SC" w:eastAsia="Noto Sans CJK SC"/>
          <w:color w:val="1F2937"/>
          <w:sz w:val="22"/>
        </w:rPr>
        <w:t>Security Checklist: 수집 약관, 개인정보, 외부모델 전송, 감사로그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부록 A. 사용자 입력 템플릿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입력영역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before="20" w:after="2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5F"/>
                <w:sz w:val="18"/>
              </w:rPr>
              <w:t>필수 항목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행사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행사명, URL, 기간, 장소, 참가일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목표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발굴 목적, 전략 테마, 목표 고객/파트너 유형, 기대 산출물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우선조건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지역, 산업, 기술, PGM/SOP, 규모, 수익성, 관계상태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제외조건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경쟁/이해상충, 제재, 공급불가, 기존 협상 중복, 저수익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참석자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이름/역할, 가용시간, 전문분야, 필수/선택 세션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미팅</w:t>
            </w:r>
          </w:p>
        </w:tc>
        <w:tc>
          <w:tcPr>
            <w:tcW w:type="dxa" w:w="7560"/>
            <w:shd w:fill="FAFBFC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기본 시간, 이동/메모 버퍼, 선호 장소, 동시 미팅 허용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30" w:after="30" w:line="259" w:lineRule="auto"/>
              <w:jc w:val="center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출력</w:t>
            </w:r>
          </w:p>
        </w:tc>
        <w:tc>
          <w:tcPr>
            <w:tcW w:type="dxa" w:w="7560"/>
          </w:tcPr>
          <w:p>
            <w:pPr>
              <w:spacing w:before="30" w:after="30" w:line="259" w:lineRule="auto"/>
              <w:jc w:val="left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Top N, 등급 기준, 일정 형식, 브리핑 깊이, 언어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color w:val="1F2937"/>
          <w:sz w:val="22"/>
        </w:rPr>
        <w:t>부록 B. 추천 결과 품질 체크리스트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참가기업 목록의 추출 범위와 누락 검증 결과가 명시되었는가?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기업명·법인·브랜드·자회사 관계가 올바르게 통합되었는가?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추천 사유마다 출처·기준일·신뢰도가 연결되었는가?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내부 전략·포트폴리오·관계·수익성 기준이 실제로 반영되었는가?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반대 근거·리스크·데이터 공백이 표시되었는가?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매칭률을 확률로 오해하지 않도록 정의가 표시되었는가?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필수 세션, 확정 미팅, 이동, 버퍼, 참석자 가용시간을 모두 만족하는가?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취소·지연 시 대체 일정과 현장 재최적화 기준이 있는가?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고객 접촉·메일·캘린더 발송 전에 담당자 승인 지점이 있는가?</w:t>
      </w:r>
    </w:p>
    <w:p>
      <w:pPr>
        <w:pStyle w:val="CustomCheck"/>
      </w:pPr>
      <w:r>
        <w:rPr>
          <w:rFonts w:ascii="Noto Sans CJK SC" w:hAnsi="Noto Sans CJK SC" w:eastAsia="Noto Sans CJK SC"/>
          <w:color w:val="1F2937"/>
          <w:sz w:val="22"/>
        </w:rPr>
        <w:t>행사 후 결과 라벨과 Next Action이 다음 추천에 축적되는가?</w:t>
      </w:r>
    </w:p>
    <w:p>
      <w:pPr>
        <w:spacing w:before="0" w:after="0" w:line="264" w:lineRule="auto"/>
        <w:jc w:val="center"/>
      </w:pPr>
      <w:r>
        <w:rPr>
          <w:rFonts w:ascii="Noto Sans CJK SC" w:hAnsi="Noto Sans CJK SC" w:eastAsia="Noto Sans CJK SC"/>
          <w:i/>
          <w:color w:val="64748B"/>
          <w:sz w:val="22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oto Sans CJK SC" w:hAnsi="Noto Sans CJK SC" w:eastAsia="Noto Sans CJK SC"/>
        <w:color w:val="64748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CJK SC" w:hAnsi="Noto Sans CJK SC" w:eastAsia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CJK SC" w:hAnsi="Noto Sans CJK SC" w:eastAsia="Noto Sans CJK S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CJK SC" w:hAnsi="Noto Sans CJK SC" w:eastAsia="Noto Sans CJK SC"/>
      </w:rPr>
    </w:lvl>
  </w:abstractNum>
  <w:num w:numId="12">
    <w:abstractNumId w:val="11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Bullet">
    <w:name w:val="Custom Bullet"/>
    <w:basedOn w:val="Normal"/>
    <w:pPr>
      <w:spacing w:after="160" w:line="280" w:lineRule="auto"/>
      <w:ind w:left="720" w:hanging="360"/>
      <w:numPr>
        <w:ilvl w:val="0"/>
        <w:numId w:val="10"/>
      </w:numPr>
    </w:pPr>
    <w:rPr>
      <w:rFonts w:ascii="Noto Sans CJK SC" w:hAnsi="Noto Sans CJK SC" w:eastAsia="Noto Sans CJK SC"/>
    </w:rPr>
  </w:style>
  <w:style w:type="paragraph" w:customStyle="1" w:styleId="CustomNumber">
    <w:name w:val="Custom Number"/>
    <w:basedOn w:val="Normal"/>
    <w:pPr>
      <w:spacing w:after="160" w:line="280" w:lineRule="auto"/>
      <w:ind w:left="720" w:hanging="360"/>
      <w:numPr>
        <w:ilvl w:val="0"/>
        <w:numId w:val="11"/>
      </w:numPr>
    </w:pPr>
    <w:rPr>
      <w:rFonts w:ascii="Noto Sans CJK SC" w:hAnsi="Noto Sans CJK SC" w:eastAsia="Noto Sans CJK SC"/>
    </w:rPr>
  </w:style>
  <w:style w:type="paragraph" w:customStyle="1" w:styleId="CustomCheck">
    <w:name w:val="Custom Check"/>
    <w:basedOn w:val="Normal"/>
    <w:pPr>
      <w:spacing w:after="160" w:line="280" w:lineRule="auto"/>
      <w:ind w:left="720" w:hanging="360"/>
      <w:numPr>
        <w:ilvl w:val="0"/>
        <w:numId w:val="12"/>
      </w:numPr>
    </w:pPr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기업고객 분석 및 추천시스템 기획서</dc:title>
  <dc:subject>박람회 기반 고객 발굴, 기업 분석, 우선순위 추천 및 일정 최적화</dc:subject>
  <dc:creator>Sales Strategy</dc:creator>
  <cp:keywords>B2B, 기업고객 분석, 추천시스템, 박람회, RAG, 일정 최적화</cp:keywords>
  <dc:description>Draft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