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№5.</w:t>
      </w:r>
      <w:r>
        <w:t xml:space="preserve"> </w:t>
      </w:r>
      <w:r>
        <w:t xml:space="preserve">по</w:t>
      </w:r>
      <w:r>
        <w:t xml:space="preserve"> </w:t>
      </w:r>
      <w:r>
        <w:t xml:space="preserve">ходу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Лотки-Вольтерры.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Сирики.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простейшую модель Лотки-Вольтерры хищник-жертва, основанную на нескольких предлоположениях.</w:t>
      </w:r>
      <w:r>
        <w:t xml:space="preserve"> </w:t>
      </w:r>
      <w:r>
        <w:t xml:space="preserve">Построить модель с помощью дифференциальных уравнений. Сделать выводы по заданию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numPr>
          <w:ilvl w:val="0"/>
          <w:numId w:val="1002"/>
        </w:numPr>
        <w:pStyle w:val="Compact"/>
      </w:pPr>
      <w:r>
        <w:t xml:space="preserve">Рассмотрим базисные компоненты системы: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Пусть для этой системы выполняются следующие предположения: (Модель Лотки-Вольтерра)</w:t>
      </w:r>
    </w:p>
    <w:p>
      <w:pPr>
        <w:numPr>
          <w:ilvl w:val="0"/>
          <w:numId w:val="1003"/>
        </w:numPr>
        <w:pStyle w:val="Compact"/>
      </w:pPr>
      <w:r>
        <w:t xml:space="preserve">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3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3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3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3"/>
        </w:numPr>
        <w:pStyle w:val="Compact"/>
      </w:pPr>
      <w:r>
        <w:t xml:space="preserve">Скорость роста численности жертв уменьшается пропорционально численности хищников: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2"/>
    <w:bookmarkStart w:id="23" w:name="теоретические-сведения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3"/>
    <w:bookmarkEnd w:id="24"/>
    <w:bookmarkStart w:id="28" w:name="задач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Задача</w:t>
      </w:r>
    </w:p>
    <w:p>
      <w:pPr>
        <w:pStyle w:val="FirstParagraph"/>
      </w:pPr>
      <w:r>
        <w:t xml:space="preserve">##Условие задачи:</w:t>
      </w:r>
      <w:r>
        <w:t xml:space="preserve"> </w:t>
      </w:r>
      <w:r>
        <w:t xml:space="preserve">В лесу проживают х число волков, питающихся зайцами, число которых в</w:t>
      </w:r>
      <w:r>
        <w:t xml:space="preserve"> </w:t>
      </w:r>
      <w:r>
        <w:t xml:space="preserve">этом же лесу у. Пока число зайцев достаточно велико, для прокормки всех волков,</w:t>
      </w:r>
      <w:r>
        <w:t xml:space="preserve"> </w:t>
      </w:r>
      <w:r>
        <w:t xml:space="preserve">численность волков растет до тех пор, пока не наступит момент, что корма</w:t>
      </w:r>
      <w:r>
        <w:t xml:space="preserve"> </w:t>
      </w:r>
      <w:r>
        <w:t xml:space="preserve">перестанет хватать на всех. Тогда волки начнут умирать, и их численность будет</w:t>
      </w:r>
      <w:r>
        <w:t xml:space="preserve"> </w:t>
      </w:r>
      <w:r>
        <w:t xml:space="preserve">уменьшаться. В этом случае в какой-то момент времени численность зайцев снова</w:t>
      </w:r>
      <w:r>
        <w:t xml:space="preserve"> </w:t>
      </w:r>
      <w:r>
        <w:t xml:space="preserve">начнет увеличиваться, что повлечет за собой новый рост популяции волков. Такой</w:t>
      </w:r>
      <w:r>
        <w:t xml:space="preserve"> </w:t>
      </w:r>
      <w:r>
        <w:t xml:space="preserve">цикл будет повторяться, пока обе популяции будут существовать. Помимо этого,</w:t>
      </w:r>
      <w:r>
        <w:t xml:space="preserve"> </w:t>
      </w:r>
      <w:r>
        <w:t xml:space="preserve">на численность стаи влияют болезни и старение.</w:t>
      </w:r>
      <w:r>
        <w:t xml:space="preserve"> </w:t>
      </w:r>
      <w:r>
        <w:t xml:space="preserve">Данная модель описывается 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Start w:id="25" w:name="мой-вариант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Мой вариант: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0.072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0.73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0.074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21</m:t>
        </m:r>
      </m:oMath>
      <w:r>
        <w:t xml:space="preserve"> </w:t>
      </w:r>
      <w:r>
        <w:t xml:space="preserve">Найдите стационарное состояние системы</w:t>
      </w:r>
    </w:p>
    <w:bookmarkEnd w:id="25"/>
    <w:bookmarkStart w:id="26" w:name="код-программ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osci1</w:t>
      </w:r>
      <w:r>
        <w:br/>
      </w:r>
      <w:r>
        <w:rPr>
          <w:rStyle w:val="VerbatimChar"/>
        </w:rPr>
        <w:t xml:space="preserve">parameter Real a =0.71;</w:t>
      </w:r>
      <w:r>
        <w:br/>
      </w:r>
      <w:r>
        <w:rPr>
          <w:rStyle w:val="VerbatimChar"/>
        </w:rPr>
        <w:t xml:space="preserve">parameter Real b = 0.072;</w:t>
      </w:r>
      <w:r>
        <w:br/>
      </w:r>
      <w:r>
        <w:rPr>
          <w:rStyle w:val="VerbatimChar"/>
        </w:rPr>
        <w:t xml:space="preserve">parameter Real c =0.73;</w:t>
      </w:r>
      <w:r>
        <w:br/>
      </w:r>
      <w:r>
        <w:rPr>
          <w:rStyle w:val="VerbatimChar"/>
        </w:rPr>
        <w:t xml:space="preserve">parameter Real d =0.074;</w:t>
      </w:r>
      <w:r>
        <w:br/>
      </w:r>
      <w:r>
        <w:br/>
      </w:r>
      <w:r>
        <w:rPr>
          <w:rStyle w:val="VerbatimChar"/>
        </w:rPr>
        <w:t xml:space="preserve">parameter Real x0=8;</w:t>
      </w:r>
      <w:r>
        <w:br/>
      </w:r>
      <w:r>
        <w:rPr>
          <w:rStyle w:val="VerbatimChar"/>
        </w:rPr>
        <w:t xml:space="preserve">parameter Real y0=21;</w:t>
      </w:r>
      <w:r>
        <w:br/>
      </w:r>
      <w:r>
        <w:br/>
      </w:r>
      <w:r>
        <w:rPr>
          <w:rStyle w:val="VerbatimChar"/>
        </w:rPr>
        <w:t xml:space="preserve">Real x(start =x0);</w:t>
      </w:r>
      <w:r>
        <w:br/>
      </w:r>
      <w:r>
        <w:rPr>
          <w:rStyle w:val="VerbatimChar"/>
        </w:rPr>
        <w:t xml:space="preserve">Real y(start =y0);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der(x)=-a*x + b*x*y;</w:t>
      </w:r>
      <w:r>
        <w:br/>
      </w:r>
      <w:r>
        <w:rPr>
          <w:rStyle w:val="VerbatimChar"/>
        </w:rPr>
        <w:t xml:space="preserve">der(y)= c*y - d*x*y;</w:t>
      </w:r>
      <w:r>
        <w:br/>
      </w:r>
      <w:r>
        <w:br/>
      </w:r>
      <w:r>
        <w:rPr>
          <w:rStyle w:val="VerbatimChar"/>
        </w:rPr>
        <w:t xml:space="preserve"> annotation(experiment(StartTime=0, StopTime=350, Tolerance=1e-6, Interval=0.5));</w:t>
      </w:r>
      <w:r>
        <w:br/>
      </w:r>
      <w:r>
        <w:br/>
      </w:r>
      <w:r>
        <w:rPr>
          <w:rStyle w:val="VerbatimChar"/>
        </w:rPr>
        <w:t xml:space="preserve">end osci1;</w:t>
      </w:r>
      <w:r>
        <w:br/>
      </w:r>
    </w:p>
    <w:bookmarkEnd w:id="26"/>
    <w:bookmarkStart w:id="27" w:name="код-программы-1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osci2</w:t>
      </w:r>
      <w:r>
        <w:br/>
      </w:r>
      <w:r>
        <w:br/>
      </w:r>
      <w:r>
        <w:rPr>
          <w:rStyle w:val="VerbatimChar"/>
        </w:rPr>
        <w:t xml:space="preserve">parameter Real a =0.71;</w:t>
      </w:r>
      <w:r>
        <w:br/>
      </w:r>
      <w:r>
        <w:rPr>
          <w:rStyle w:val="VerbatimChar"/>
        </w:rPr>
        <w:t xml:space="preserve">parameter Real b = 0.072;</w:t>
      </w:r>
      <w:r>
        <w:br/>
      </w:r>
      <w:r>
        <w:rPr>
          <w:rStyle w:val="VerbatimChar"/>
        </w:rPr>
        <w:t xml:space="preserve">parameter Real c =0.73;</w:t>
      </w:r>
      <w:r>
        <w:br/>
      </w:r>
      <w:r>
        <w:rPr>
          <w:rStyle w:val="VerbatimChar"/>
        </w:rPr>
        <w:t xml:space="preserve">parameter Real d =0.074;</w:t>
      </w:r>
      <w:r>
        <w:br/>
      </w:r>
      <w:r>
        <w:br/>
      </w:r>
      <w:r>
        <w:rPr>
          <w:rStyle w:val="VerbatimChar"/>
        </w:rPr>
        <w:t xml:space="preserve">parameter Real x0=0.73/0.074;</w:t>
      </w:r>
      <w:r>
        <w:br/>
      </w:r>
      <w:r>
        <w:rPr>
          <w:rStyle w:val="VerbatimChar"/>
        </w:rPr>
        <w:t xml:space="preserve">parameter Real y0=0.71/0.072;</w:t>
      </w:r>
      <w:r>
        <w:br/>
      </w:r>
      <w:r>
        <w:br/>
      </w:r>
      <w:r>
        <w:rPr>
          <w:rStyle w:val="VerbatimChar"/>
        </w:rPr>
        <w:t xml:space="preserve">Real x(start =x0);</w:t>
      </w:r>
      <w:r>
        <w:br/>
      </w:r>
      <w:r>
        <w:rPr>
          <w:rStyle w:val="VerbatimChar"/>
        </w:rPr>
        <w:t xml:space="preserve">Real y(start =y0);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der(x)=-a*x + b*x*y;</w:t>
      </w:r>
      <w:r>
        <w:br/>
      </w:r>
      <w:r>
        <w:rPr>
          <w:rStyle w:val="VerbatimChar"/>
        </w:rPr>
        <w:t xml:space="preserve">der(y)= c*y - d*x*y;</w:t>
      </w:r>
      <w:r>
        <w:br/>
      </w:r>
      <w:r>
        <w:br/>
      </w:r>
      <w:r>
        <w:rPr>
          <w:rStyle w:val="VerbatimChar"/>
        </w:rPr>
        <w:t xml:space="preserve"> //annotation(experiment(StartTime=0, StopTime=25, Tolerance=1e-6, Interval=0.5));</w:t>
      </w:r>
      <w:r>
        <w:br/>
      </w:r>
      <w:r>
        <w:br/>
      </w:r>
      <w:r>
        <w:br/>
      </w:r>
      <w:r>
        <w:rPr>
          <w:rStyle w:val="VerbatimChar"/>
        </w:rPr>
        <w:t xml:space="preserve">end osci2;</w:t>
      </w:r>
    </w:p>
    <w:bookmarkEnd w:id="27"/>
    <w:bookmarkEnd w:id="28"/>
    <w:bookmarkStart w:id="41" w:name="результаты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Результаты работы:</w:t>
      </w:r>
    </w:p>
    <w:p>
      <w:pPr>
        <w:pStyle w:val="FirstParagraph"/>
      </w:pPr>
      <w:r>
        <w:t xml:space="preserve">##График численности жертв и хищников от времени</w:t>
      </w:r>
      <w:r>
        <w:t xml:space="preserve"> </w:t>
      </w:r>
      <w:bookmarkStart w:id="32" w:name="fig:001"/>
      <w:r>
        <w:drawing>
          <wp:inline>
            <wp:extent cx="3733800" cy="1371600"/>
            <wp:effectExtent b="0" l="0" r="0" t="0"/>
            <wp:docPr descr="График численности жертв и хищников от времени" title="" id="30" name="Picture"/>
            <a:graphic>
              <a:graphicData uri="http://schemas.openxmlformats.org/drawingml/2006/picture">
                <pic:pic>
                  <pic:nvPicPr>
                    <pic:cNvPr descr="image/0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##График численности хищников от численности жертв</w:t>
      </w:r>
      <w:r>
        <w:t xml:space="preserve"> </w:t>
      </w:r>
      <w:bookmarkStart w:id="36" w:name="fig:002"/>
      <w:r>
        <w:drawing>
          <wp:inline>
            <wp:extent cx="3733800" cy="1391478"/>
            <wp:effectExtent b="0" l="0" r="0" t="0"/>
            <wp:docPr descr="График численности хищников от численности жертв" title="" id="34" name="Picture"/>
            <a:graphic>
              <a:graphicData uri="http://schemas.openxmlformats.org/drawingml/2006/picture">
                <pic:pic>
                  <pic:nvPicPr>
                    <pic:cNvPr descr="image/0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r>
        <w:t xml:space="preserve">##Стационарное состояние</w:t>
      </w:r>
      <w:r>
        <w:t xml:space="preserve"> </w:t>
      </w:r>
      <w:bookmarkStart w:id="40" w:name="fig:003"/>
      <w:r>
        <w:drawing>
          <wp:inline>
            <wp:extent cx="3733800" cy="1104493"/>
            <wp:effectExtent b="0" l="0" r="0" t="0"/>
            <wp:docPr descr="Стационарное состояние" title="" id="38" name="Picture"/>
            <a:graphic>
              <a:graphicData uri="http://schemas.openxmlformats.org/drawingml/2006/picture">
                <pic:pic>
                  <pic:nvPicPr>
                    <pic:cNvPr descr="image/0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4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9.86486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9.86111</m:t>
        </m:r>
      </m:oMath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 зависимости количества хищников и жертв в разных отношениях и в разные периоды времени.</w:t>
      </w:r>
    </w:p>
    <w:bookmarkEnd w:id="42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43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4"/>
        </w:numPr>
        <w:pStyle w:val="Compact"/>
      </w:pPr>
      <w:hyperlink r:id="rId44">
        <w:r>
          <w:rPr>
            <w:rStyle w:val="Hyperlink"/>
          </w:rPr>
          <w:t xml:space="preserve">Биология математическая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4" Target="http://www.library.biophys.msu.ru/MathMod/BM.HTML" TargetMode="External" /><Relationship Type="http://schemas.openxmlformats.org/officeDocument/2006/relationships/hyperlink" Id="rId43" Target="https://math-it.petrsu.ru/users/semenova/MathECO/Lections/Lotka_Volterr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www.library.biophys.msu.ru/MathMod/BM.HTML" TargetMode="External" /><Relationship Type="http://schemas.openxmlformats.org/officeDocument/2006/relationships/hyperlink" Id="rId43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Лабораторной работе №5. по ходу</dc:title>
  <dc:creator>Коне Сирики. НФИбд-01-20</dc:creator>
  <dc:language>ru-RU</dc:language>
  <cp:keywords/>
  <dcterms:created xsi:type="dcterms:W3CDTF">2023-03-07T11:27:32Z</dcterms:created>
  <dcterms:modified xsi:type="dcterms:W3CDTF">2023-03-07T11:27:32Z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 Лотки-Вольтерры. Вариант 19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