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jpg" ContentType="image/jpeg"/>
  <Override PartName="/word/media/rId63.jpg" ContentType="image/jpeg"/>
  <Override PartName="/word/media/rId68.jpg" ContentType="image/jpeg"/>
  <Override PartName="/word/media/rId73.jpg" ContentType="image/jpeg"/>
  <Override PartName="/word/media/rId78.jpg" ContentType="image/jpeg"/>
  <Override PartName="/word/media/rId83.jpg" ContentType="image/jpeg"/>
  <Override PartName="/word/media/rId47.jpg" ContentType="image/jpeg"/>
  <Override PartName="/word/media/rId16.jpg" ContentType="image/jpeg"/>
  <Override PartName="/word/media/rId21.jpg" ContentType="image/jpeg"/>
  <Override PartName="/word/media/rId29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Including Graphics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основами включения графики в документы LaTeX.</w:t>
      </w:r>
    </w:p>
    <w:p>
      <w:pPr>
        <w:pStyle w:val="BodyText"/>
      </w:pPr>
      <w:r>
        <w:t xml:space="preserve">The purpose of this lab work is to learn how to include and manipulate graphics in LaTeX documents using the graphicx package and related tools.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Study basic image inclusion with graphicx package</w:t>
      </w:r>
    </w:p>
    <w:p>
      <w:pPr>
        <w:pStyle w:val="Compact"/>
        <w:numPr>
          <w:ilvl w:val="0"/>
          <w:numId w:val="1001"/>
        </w:numPr>
      </w:pPr>
      <w:r>
        <w:t xml:space="preserve">Learn to modify graphic appearance (size, rotation, scaling)</w:t>
      </w:r>
    </w:p>
    <w:p>
      <w:pPr>
        <w:pStyle w:val="Compact"/>
        <w:numPr>
          <w:ilvl w:val="0"/>
          <w:numId w:val="1001"/>
        </w:numPr>
      </w:pPr>
      <w:r>
        <w:t xml:space="preserve">Understand float environments for image placement</w:t>
      </w:r>
    </w:p>
    <w:p>
      <w:pPr>
        <w:pStyle w:val="Compact"/>
        <w:numPr>
          <w:ilvl w:val="0"/>
          <w:numId w:val="1001"/>
        </w:numPr>
      </w:pPr>
      <w:r>
        <w:t xml:space="preserve">Practice file naming and organization best practices</w:t>
      </w:r>
    </w:p>
    <w:p>
      <w:pPr>
        <w:pStyle w:val="Compact"/>
        <w:numPr>
          <w:ilvl w:val="0"/>
          <w:numId w:val="1001"/>
        </w:numPr>
      </w:pPr>
      <w:r>
        <w:t xml:space="preserve">Learn cross-referencing for figures</w:t>
      </w:r>
    </w:p>
    <w:p>
      <w:pPr>
        <w:pStyle w:val="Compact"/>
        <w:numPr>
          <w:ilvl w:val="0"/>
          <w:numId w:val="1001"/>
        </w:numPr>
      </w:pPr>
      <w:r>
        <w:t xml:space="preserve">Explore different float types and positioning options</w:t>
      </w:r>
    </w:p>
    <w:p>
      <w:pPr>
        <w:pStyle w:val="Compact"/>
        <w:numPr>
          <w:ilvl w:val="0"/>
          <w:numId w:val="1001"/>
        </w:numPr>
      </w:pPr>
      <w:r>
        <w:t xml:space="preserve">Complete the exercises with practical examples</w:t>
      </w:r>
    </w:p>
    <w:bookmarkEnd w:id="10"/>
    <w:bookmarkStart w:id="5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11" w:name="включение-графики-including-graphi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4 Включение графики / Including Graphics</w:t>
      </w:r>
    </w:p>
    <w:p>
      <w:pPr>
        <w:pStyle w:val="FirstParagraph"/>
      </w:pPr>
      <w:r>
        <w:t xml:space="preserve">Для включения внешних изображений в LaTeX используется пакет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, который предоставляет команду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.</w:t>
      </w:r>
      <w:r>
        <w:t xml:space="preserve"> </w:t>
      </w:r>
      <w:r>
        <w:t xml:space="preserve">To include external images in LaTeX, use the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package which provides the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This picture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[height=2cm]{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is an imported PDF.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bookmarkEnd w:id="11"/>
    <w:bookmarkStart w:id="20" w:name="X85417f11fd04e8e9e00228d5acb060fadc2b7b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4.1 Изменение внешнего вида графики / Altering Graphic Appearance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 </w:t>
      </w:r>
      <w:r>
        <w:t xml:space="preserve">имеет множество опций для управления размером и формой изображений.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 </w:t>
      </w:r>
      <w:r>
        <w:t xml:space="preserve">command has many options to control image size and appearance.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[height=0.5</w:t>
      </w:r>
      <w:r>
        <w:rPr>
          <w:rStyle w:val="FunctionTok"/>
        </w:rPr>
        <w:t xml:space="preserve">\textheight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Некоторый текст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15" w:name="fig:001"/>
      <w:r>
        <w:drawing>
          <wp:inline>
            <wp:extent cx="5334000" cy="2696075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image/1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[clip, trim=0 0 50 50]{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19" w:name="fig:002"/>
      <w:r>
        <w:drawing>
          <wp:inline>
            <wp:extent cx="5334000" cy="1980418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image/2.jp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bookmarkEnd w:id="20"/>
    <w:bookmarkStart w:id="25" w:name="Xaa1d1fbb6577d082e506f2b0eeb0c35f64f7ff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4.2 Создание плавающих изображений / Making Images Float</w:t>
      </w:r>
    </w:p>
    <w:p>
      <w:pPr>
        <w:pStyle w:val="FirstParagraph"/>
      </w:pPr>
      <w:r>
        <w:t xml:space="preserve">Изображения обычно включаются как плавающие объекты (floats) чтобы избежать больших пробелов на странице.</w:t>
      </w:r>
      <w:r>
        <w:t xml:space="preserve"> </w:t>
      </w:r>
      <w:r>
        <w:t xml:space="preserve">Images are typically included as floats to avoid large gaps on the page.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produce dummy text as filler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[1-4] </w:t>
      </w:r>
      <w:r>
        <w:rPr>
          <w:rStyle w:val="CommentTok"/>
        </w:rPr>
        <w:t xml:space="preserve">% Just a few filler paragraphs</w:t>
      </w:r>
      <w:r>
        <w:br/>
      </w:r>
      <w:r>
        <w:rPr>
          <w:rStyle w:val="NormalTok"/>
        </w:rPr>
        <w:t xml:space="preserve">Test location.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example-image-a.png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{An example image}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[6-10] </w:t>
      </w:r>
      <w:r>
        <w:rPr>
          <w:rStyle w:val="CommentTok"/>
        </w:rPr>
        <w:t xml:space="preserve">% Just a few filler paragraphs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24" w:name="fig:003"/>
      <w:r>
        <w:drawing>
          <wp:inline>
            <wp:extent cx="5334000" cy="271881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26" w:name="Xb4a21161a199ac688ec29f56cea9d1aa4fadcd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4.3 Именование графических файлов / Naming Graphics Files</w:t>
      </w:r>
    </w:p>
    <w:p>
      <w:pPr>
        <w:pStyle w:val="FirstParagraph"/>
      </w:pPr>
      <w:r>
        <w:t xml:space="preserve">Рекомендуется использовать простые имена файлов без пробелов и специальных символов.</w:t>
      </w:r>
      <w:r>
        <w:t xml:space="preserve"> </w:t>
      </w:r>
      <w:r>
        <w:t xml:space="preserve">It’s recommended to use simple file names without spaces or special characters.</w:t>
      </w:r>
    </w:p>
    <w:p>
      <w:pPr>
        <w:pStyle w:val="SourceCode"/>
      </w:pP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[width=30pt]{</w:t>
      </w:r>
      <w:r>
        <w:rPr>
          <w:rStyle w:val="ExtensionTok"/>
        </w:rPr>
        <w:t xml:space="preserve">pics/myimage.png</w:t>
      </w:r>
      <w:r>
        <w:rPr>
          <w:rStyle w:val="NormalTok"/>
        </w:rPr>
        <w:t xml:space="preserve">}</w:t>
      </w:r>
    </w:p>
    <w:bookmarkEnd w:id="26"/>
    <w:bookmarkStart w:id="27" w:name="Xdf3a1806e4ad006cbcb1f52e9d80c4e8567453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4.4 Хранение графики в поддиректории / Storing Graphics in Subdirectory</w:t>
      </w:r>
    </w:p>
    <w:p>
      <w:pPr>
        <w:pStyle w:val="FirstParagraph"/>
      </w:pPr>
      <w:r>
        <w:t xml:space="preserve">Для организации файлов изображения можно хранить в поддиректориях.</w:t>
      </w:r>
      <w:r>
        <w:t xml:space="preserve"> </w:t>
      </w:r>
      <w:r>
        <w:t xml:space="preserve">To organize files, images can be stored in subdirectories.</w:t>
      </w:r>
    </w:p>
    <w:p>
      <w:pPr>
        <w:pStyle w:val="SourceCode"/>
      </w:pPr>
      <w:r>
        <w:rPr>
          <w:rStyle w:val="FunctionTok"/>
        </w:rPr>
        <w:t xml:space="preserve">\graphicspath</w:t>
      </w:r>
      <w:r>
        <w:rPr>
          <w:rStyle w:val="NormalTok"/>
        </w:rPr>
        <w:t xml:space="preserve">{{figs/}{pics/}}</w:t>
      </w:r>
    </w:p>
    <w:bookmarkEnd w:id="27"/>
    <w:bookmarkStart w:id="28" w:name="создание-графики-producing-graphic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4.5 Создание графики / Producing Graphics</w:t>
      </w:r>
    </w:p>
    <w:p>
      <w:pPr>
        <w:pStyle w:val="FirstParagraph"/>
      </w:pPr>
      <w:r>
        <w:t xml:space="preserve">LaTeX поддерживает различные форматы изображений. Предпочтительно использовать PDF для векторной графики.</w:t>
      </w:r>
      <w:r>
        <w:t xml:space="preserve"> </w:t>
      </w:r>
      <w:r>
        <w:t xml:space="preserve">LaTeX supports various image formats. PDF is preferred for vector graphics.</w:t>
      </w:r>
    </w:p>
    <w:p>
      <w:pPr>
        <w:pStyle w:val="SourceCode"/>
      </w:pPr>
      <w:r>
        <w:rPr>
          <w:rStyle w:val="CommentTok"/>
        </w:rPr>
        <w:t xml:space="preserve">% создания графики с TikZ</w:t>
      </w:r>
      <w:r>
        <w:br/>
      </w: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 (0,0) circle (1cm);</w:t>
      </w:r>
      <w:r>
        <w:br/>
      </w:r>
      <w:r>
        <w:rPr>
          <w:rStyle w:val="FunctionTok"/>
        </w:rPr>
        <w:t xml:space="preserve">\draw</w:t>
      </w:r>
      <w:r>
        <w:rPr>
          <w:rStyle w:val="NormalTok"/>
        </w:rPr>
        <w:t xml:space="preserve"> (-1,0) -- (1,0);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bookmarkEnd w:id="28"/>
    <w:bookmarkStart w:id="33" w:name="X1a1bf1e2c4687bad78bc46cc04552d0786bc1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4.6 Размещение плавающих объектов / Placing Floats</w:t>
      </w:r>
    </w:p>
    <w:p>
      <w:pPr>
        <w:pStyle w:val="FirstParagraph"/>
      </w:pPr>
      <w:r>
        <w:t xml:space="preserve">Пакет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предоставляет опцию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для точного размещения плавающих объектов.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package provides the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option for precise float placement.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float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[1-7]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{Пример изображения}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[8-15]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2" w:name="fig:004"/>
      <w:r>
        <w:drawing>
          <wp:inline>
            <wp:extent cx="5334000" cy="259782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8" w:name="X379bd6d4677808c04e4ce8357fec7f011cdbe9f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4.7 Другие типы плавающих объектов / Other Types of Float</w:t>
      </w:r>
    </w:p>
    <w:p>
      <w:pPr>
        <w:pStyle w:val="FirstParagraph"/>
      </w:pPr>
      <w:r>
        <w:t xml:space="preserve">Пакет</w:t>
      </w:r>
      <w:r>
        <w:t xml:space="preserve"> </w:t>
      </w:r>
      <w:r>
        <w:rPr>
          <w:rStyle w:val="VerbatimChar"/>
        </w:rPr>
        <w:t xml:space="preserve">trivfloat</w:t>
      </w:r>
      <w:r>
        <w:t xml:space="preserve"> </w:t>
      </w:r>
      <w:r>
        <w:t xml:space="preserve">позволяет создавать новые типы плавающих сред.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trivfloat</w:t>
      </w:r>
      <w:r>
        <w:t xml:space="preserve"> </w:t>
      </w:r>
      <w:r>
        <w:t xml:space="preserve">package allows creating new types of float environments.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dummy text for filler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trivfloat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\trivfloat</w:t>
      </w:r>
      <w:r>
        <w:rPr>
          <w:rStyle w:val="NormalTok"/>
        </w:rPr>
        <w:t xml:space="preserve">{image}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{An example image}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7" w:name="fig:005"/>
      <w:r>
        <w:drawing>
          <wp:inline>
            <wp:extent cx="5334000" cy="268032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51" w:name="перекрёстные-ссылки-cross-referenc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4.8 Перекрёстные ссылки / Cross-referencing</w:t>
      </w:r>
    </w:p>
    <w:p>
      <w:pPr>
        <w:pStyle w:val="FirstParagraph"/>
      </w:pPr>
      <w:r>
        <w:t xml:space="preserve">Механизм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позволяет создавать ссылки на пронумерованные элементы.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mechanism allows creating references to numbered elements.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Hey world!</w:t>
      </w:r>
      <w:r>
        <w:br/>
      </w:r>
      <w:r>
        <w:rPr>
          <w:rStyle w:val="NormalTok"/>
        </w:rPr>
        <w:t xml:space="preserve">This is a first document.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{Title of the first section}</w:t>
      </w:r>
      <w:r>
        <w:br/>
      </w:r>
      <w:r>
        <w:rPr>
          <w:rStyle w:val="NormalTok"/>
        </w:rPr>
        <w:t xml:space="preserve">Text of material for the first section.</w:t>
      </w: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{Subsection of the first section}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subsec:labelone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Text of material for the first subsection.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e^{i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}+1 = 0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{eq:labeltwo}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 subsection~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subsec:labelone</w:t>
      </w:r>
      <w:r>
        <w:rPr>
          <w:rStyle w:val="NormalTok"/>
        </w:rPr>
        <w:t xml:space="preserve">} is</w:t>
      </w:r>
      <w:r>
        <w:br/>
      </w:r>
      <w:r>
        <w:rPr>
          <w:rStyle w:val="NormalTok"/>
        </w:rPr>
        <w:t xml:space="preserve"> equation~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eq:labeltwo</w:t>
      </w:r>
      <w:r>
        <w:rPr>
          <w:rStyle w:val="NormalTok"/>
        </w:rPr>
        <w:t xml:space="preserve">}.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42" w:name="fig:006"/>
      <w:r>
        <w:drawing>
          <wp:inline>
            <wp:extent cx="2667000" cy="141280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6" w:name="fig:007"/>
      <w:r>
        <w:drawing>
          <wp:inline>
            <wp:extent cx="2667000" cy="110454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0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[T1]{</w:t>
      </w:r>
      <w:r>
        <w:rPr>
          <w:rStyle w:val="ExtensionTok"/>
        </w:rPr>
        <w:t xml:space="preserve">fontenc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[hidelinks]{</w:t>
      </w:r>
      <w:r>
        <w:rPr>
          <w:rStyle w:val="ExtensionTok"/>
        </w:rPr>
        <w:t xml:space="preserve">hyperref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{Introduction}</w:t>
      </w:r>
      <w:r>
        <w:br/>
      </w:r>
      <w:r>
        <w:rPr>
          <w:rStyle w:val="NormalTok"/>
        </w:rPr>
        <w:t xml:space="preserve">Some exciting text with a reference~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sec:next</w:t>
      </w:r>
      <w:r>
        <w:rPr>
          <w:rStyle w:val="NormalTok"/>
        </w:rPr>
        <w:t xml:space="preserve">}.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{Next thing}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sec:next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More text here.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50" w:name="fig:008"/>
      <w:r>
        <w:drawing>
          <wp:inline>
            <wp:extent cx="5334000" cy="41338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1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End w:id="5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8" w:name="упражнения-exercis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4.10 Упражнения / Exercises</w:t>
      </w:r>
    </w:p>
    <w:bookmarkStart w:id="57" w:name="Xd67d2e8c26f3480a051aae6736c47c541eba5a6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Упражнение 1: Включение собственного изображения / Including Your Own Image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[width=0.6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my-image.png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{Моё собственное изображение}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fig:myimage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56" w:name="fig:009"/>
      <w:r>
        <w:drawing>
          <wp:inline>
            <wp:extent cx="5334000" cy="1850856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62" w:name="X23ce7dd5418e00a5a231cc027a6bd3ba76d2d74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Упражнение 2: Исследование опций размера и поворота / Exploring Size and Rotation Options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[height=3cm]{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[scale=0.5]{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[angle=45, width=0.2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61" w:name="fig:010"/>
      <w:r>
        <w:drawing>
          <wp:inline>
            <wp:extent cx="5334000" cy="288691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7" w:name="Xd280d3981c4bb119af9809555042912304b1245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Упражнение 3: Сравнение</w:t>
      </w:r>
      <w:r>
        <w:t xml:space="preserve"> </w:t>
      </w:r>
      <w:r>
        <w:t xml:space="preserve">textwidth и</w:t>
      </w:r>
      <w:r>
        <w:t xml:space="preserve"> </w:t>
      </w:r>
      <w:r>
        <w:t xml:space="preserve">linewidth / Comparing textwidth and linewidth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[twocolumn]{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textwidth}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linewidth}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[2-5]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66" w:name="fig:011"/>
      <w:r>
        <w:drawing>
          <wp:inline>
            <wp:extent cx="5334000" cy="286327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72" w:name="X193c22474fb2460363eb21f146be3fbb4d12849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Упражнение 4: Размещение плавающих объектов с разными спецификаторами / Float Placement with Different Specifiers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[1-2]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example-image-a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h (здесь)}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[3]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example-image-b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t (верх)}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}[b]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example-image-c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b (низ)}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[4-8]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71" w:name="fig:012"/>
      <w:r>
        <w:drawing>
          <wp:inline>
            <wp:extent cx="5334000" cy="331515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bookmarkEnd w:id="72"/>
    <w:bookmarkStart w:id="77" w:name="X77d75b71c1d93bb9282f10f9cd224b1c9a030bf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Упражнение 5: Перекрёстные ссылки и количество компиляций / Cross-references and Number of Compilations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{Введение}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В разделе~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 мы представляем...</w:t>
      </w:r>
      <w:r>
        <w:br/>
      </w: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{Первая подсекция}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Как видно в подсекции~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}...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{Тестовая фигура}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 показывает...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76" w:name="fig:013"/>
      <w:r>
        <w:drawing>
          <wp:inline>
            <wp:extent cx="5334000" cy="3120466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82" w:name="X0da03a7f6d81750756298a2d8c6dbdfc9c3a2b8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Упражнение 6: Размещение</w:t>
      </w:r>
      <w:r>
        <w:t xml:space="preserve"> </w:t>
      </w:r>
      <w:r>
        <w:t xml:space="preserve">label до/после</w:t>
      </w:r>
      <w:r>
        <w:t xml:space="preserve"> </w:t>
      </w:r>
      <w:r>
        <w:t xml:space="preserve">caption / Placing label Before/After caption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example-image-a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до caption}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example-image-b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после caption}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81" w:name="fig:014"/>
      <w:r>
        <w:drawing>
          <wp:inline>
            <wp:extent cx="5334000" cy="2720928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3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7" w:name="Xae205094cba557963ec9e3b9b6bb41d5c497195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Упражнение 7:</w:t>
      </w:r>
      <w:r>
        <w:t xml:space="preserve"> </w:t>
      </w:r>
      <w:r>
        <w:t xml:space="preserve">label после</w:t>
      </w:r>
      <w:r>
        <w:t xml:space="preserve"> </w:t>
      </w:r>
      <w:r>
        <w:t xml:space="preserve">end{equation} / label After end{equation}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amsmath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F = ma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{eq:inside}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eq:inside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86" w:name="fig:015"/>
      <w:r>
        <w:drawing>
          <wp:inline>
            <wp:extent cx="5334000" cy="249904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№4 я изучил основы включения и управления графикой в документах LaTeX. Освоил работу с пакетом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, научился создавать плавающие объекты, управлять их размещением и создавать перекрёстные ссылки на изображения. Также изучил лучшие практики организации графических файлов и их именования.</w:t>
      </w:r>
    </w:p>
    <w:p>
      <w:pPr>
        <w:pStyle w:val="BodyText"/>
      </w:pPr>
      <w:r>
        <w:t xml:space="preserve">In this lab work #4, I learned the fundamentals of including and manipulating graphics in LaTeX documents. I mastered the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package, learned to create float objects, control their placement, and create cross-references to images. I also studied best practices for organizing graphic files and naming them.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LaTeX/Математические формулы — Викиучебник. https://ru.wikibooks.org/wiki/LaTeX/</w:t>
      </w:r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47" Target="media/rId47.jpg" /><Relationship Type="http://schemas.openxmlformats.org/officeDocument/2006/relationships/image" Id="rId16" Target="media/rId16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53" Target="media/rId53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Коне Сирики</dc:creator>
  <dc:language>ru-RU</dc:language>
  <cp:keywords/>
  <dcterms:created xsi:type="dcterms:W3CDTF">2025-10-17T16:44:36Z</dcterms:created>
  <dcterms:modified xsi:type="dcterms:W3CDTF">2025-10-17T16:44:36Z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OfMetadata">
    <vt:lpwstr>False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List of Figures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thfont">
    <vt:lpwstr>STIX Two Math</vt:lpwstr>
  </property>
  <property fmtid="{D5CDD505-2E9C-101B-9397-08002B2CF9AE}" pid="62" name="monofont">
    <vt:lpwstr>IBM Plex Mono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sansfont">
    <vt:lpwstr>IBM Plex Sans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Including Graphics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