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jpg" ContentType="image/jpeg"/>
  <Override PartName="/word/media/rId58.jpg" ContentType="image/jpeg"/>
  <Override PartName="/word/media/rId13.jpg" ContentType="image/jpeg"/>
  <Override PartName="/word/media/rId19.jpg" ContentType="image/jpeg"/>
  <Override PartName="/word/media/rId24.jpg" ContentType="image/jpeg"/>
  <Override PartName="/word/media/rId35.jpg" ContentType="image/jpeg"/>
  <Override PartName="/word/media/rId39.jpg" ContentType="image/jpeg"/>
  <Override PartName="/word/media/rId44.jpg" ContentType="image/jpeg"/>
  <Override PartName="/word/media/rId4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Working with Bibliography</w:t>
      </w:r>
    </w:p>
    <w:p>
      <w:pPr>
        <w:pStyle w:val="Author"/>
      </w:pPr>
      <w:r>
        <w:t xml:space="preserve">Коне Сирики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методов работы с библиографией в LaTeX, включая использование систем BibTeX и biblatex для управления цитированием и списками литературы.</w:t>
      </w:r>
    </w:p>
    <w:p>
      <w:pPr>
        <w:pStyle w:val="BodyText"/>
      </w:pPr>
      <w:r>
        <w:t xml:space="preserve">The purpose of this lab work is to learn how to work with bibliography in LaTeX, including using BibTeX and biblatex systems for managing citations and reference lists.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Освоить workflow с natbib и BibTeX для работы с библиографией</w:t>
      </w:r>
    </w:p>
    <w:p>
      <w:pPr>
        <w:pStyle w:val="Compact"/>
        <w:numPr>
          <w:ilvl w:val="0"/>
          <w:numId w:val="1001"/>
        </w:numPr>
      </w:pPr>
      <w:r>
        <w:t xml:space="preserve">Освоить workflow с biblatex и Biber и их особенности</w:t>
      </w:r>
    </w:p>
    <w:p>
      <w:pPr>
        <w:pStyle w:val="Compact"/>
        <w:numPr>
          <w:ilvl w:val="0"/>
          <w:numId w:val="1001"/>
        </w:numPr>
      </w:pPr>
      <w:r>
        <w:t xml:space="preserve">Сравнить два подхода к работе с библиографией и их применение</w:t>
      </w:r>
    </w:p>
    <w:p>
      <w:pPr>
        <w:pStyle w:val="Compact"/>
        <w:numPr>
          <w:ilvl w:val="0"/>
          <w:numId w:val="1001"/>
        </w:numPr>
      </w:pPr>
      <w:r>
        <w:t xml:space="preserve">Выполнить практические упражнения по созданию и управлению библиографическими ссылками</w:t>
      </w:r>
    </w:p>
    <w:bookmarkEnd w:id="10"/>
    <w:bookmarkStart w:id="3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12" w:name="X6f76745fdc6f96eca29fc6a29f5f6c89d4cbac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6 Работа с библиографией / Working with Bibliography</w:t>
      </w:r>
    </w:p>
    <w:p>
      <w:pPr>
        <w:pStyle w:val="FirstParagraph"/>
      </w:pPr>
      <w:r>
        <w:t xml:space="preserve">Для библиографических ссылок обычно используется информация из внешних файлов - библиографических баз данных.</w:t>
      </w:r>
      <w:r>
        <w:t xml:space="preserve"> </w:t>
      </w:r>
      <w:r>
        <w:t xml:space="preserve">For bibliographic citations, information is typically retrieved from external files - bibliographic databases.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Ссылка на книгу: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 </w:t>
      </w:r>
      <w:r>
        <w:br/>
      </w:r>
      <w:r>
        <w:rPr>
          <w:rStyle w:val="NormalTok"/>
        </w:rPr>
        <w:t xml:space="preserve">Ссылка на статью: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plainnat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learnlatex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11" w:name="fig:001"/>
      <w:bookmarkEnd w:id="11"/>
    </w:p>
    <w:bookmarkEnd w:id="12"/>
    <w:bookmarkStart w:id="17" w:name="X85d0c63ecddfd8401e77c3ee4dc14bb701eac3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6.1 Библиографические базы данных / Reference Databases</w:t>
      </w:r>
    </w:p>
    <w:p>
      <w:pPr>
        <w:pStyle w:val="FirstParagraph"/>
      </w:pPr>
      <w:r>
        <w:t xml:space="preserve">Базы данных BibTeX содержат записи с различными полями.</w:t>
      </w:r>
      <w:r>
        <w:t xml:space="preserve"> </w:t>
      </w:r>
      <w:r>
        <w:t xml:space="preserve">BibTeX databases contain entries with various fields.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Thomas2008</w:t>
      </w:r>
      <w:r>
        <w:rPr>
          <w:rStyle w:val="NormalTok"/>
        </w:rPr>
        <w:t xml:space="preserve">,</w:t>
      </w:r>
      <w:r>
        <w:br/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= {Thomas, Christine M. and Liu, Tianbiao and Hall, Michael B.</w:t>
      </w:r>
      <w:r>
        <w:br/>
      </w:r>
      <w:r>
        <w:rPr>
          <w:rStyle w:val="NormalTok"/>
        </w:rPr>
        <w:t xml:space="preserve">    and Darensbourg, Marcetta Y.},</w:t>
      </w:r>
      <w:r>
        <w:br/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= {Series of Mixed Valent {Fe(II)Fe(I)} Complexes That Model the</w:t>
      </w:r>
      <w:r>
        <w:br/>
      </w:r>
      <w:r>
        <w:rPr>
          <w:rStyle w:val="NormalTok"/>
        </w:rPr>
        <w:t xml:space="preserve">    {H(0X)} State of [{FeFe}]Hydrogenase},</w:t>
      </w:r>
      <w:r>
        <w:br/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{Inorg. Chem.},</w:t>
      </w:r>
      <w:r>
        <w:br/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= {2008},</w:t>
      </w:r>
      <w:r>
        <w:br/>
      </w:r>
      <w:r>
        <w:rPr>
          <w:rStyle w:val="DataTypeTok"/>
        </w:rPr>
        <w:t xml:space="preserve">volume</w:t>
      </w:r>
      <w:r>
        <w:rPr>
          <w:rStyle w:val="NormalTok"/>
        </w:rPr>
        <w:t xml:space="preserve"> = {47},</w:t>
      </w:r>
      <w:r>
        <w:br/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= {15},</w:t>
      </w:r>
      <w:r>
        <w:br/>
      </w:r>
      <w:r>
        <w:rPr>
          <w:rStyle w:val="DataTypeTok"/>
        </w:rPr>
        <w:t xml:space="preserve">pages</w:t>
      </w:r>
      <w:r>
        <w:rPr>
          <w:rStyle w:val="NormalTok"/>
        </w:rPr>
        <w:t xml:space="preserve"> = {7009-7024},</w:t>
      </w:r>
      <w:r>
        <w:br/>
      </w:r>
      <w:r>
        <w:rPr>
          <w:rStyle w:val="DataTypeTok"/>
        </w:rPr>
        <w:t xml:space="preserve">doi</w:t>
      </w:r>
      <w:r>
        <w:rPr>
          <w:rStyle w:val="NormalTok"/>
        </w:rPr>
        <w:t xml:space="preserve"> = {10.1021/ic800654a},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@article{Thomas2008,</w:t>
      </w:r>
      <w:r>
        <w:br/>
      </w:r>
      <w:r>
        <w:rPr>
          <w:rStyle w:val="NormalTok"/>
        </w:rPr>
        <w:t xml:space="preserve">author = {Thomas, Christine M. and Liu, Tianbiao and Hall,</w:t>
      </w:r>
      <w:r>
        <w:br/>
      </w:r>
      <w:r>
        <w:rPr>
          <w:rStyle w:val="NormalTok"/>
        </w:rPr>
        <w:t xml:space="preserve">↪ Michael B.</w:t>
      </w:r>
      <w:r>
        <w:br/>
      </w:r>
      <w:r>
        <w:rPr>
          <w:rStyle w:val="NormalTok"/>
        </w:rPr>
        <w:t xml:space="preserve">and Darensbourg, Marcetta Y.},</w:t>
      </w:r>
      <w:r>
        <w:br/>
      </w:r>
      <w:r>
        <w:rPr>
          <w:rStyle w:val="NormalTok"/>
        </w:rPr>
        <w:t xml:space="preserve">title = {Series of Mixed Valent {Fe(II)Fe(I)} Complexes</w:t>
      </w:r>
      <w:r>
        <w:br/>
      </w:r>
      <w:r>
        <w:rPr>
          <w:rStyle w:val="NormalTok"/>
        </w:rPr>
        <w:t xml:space="preserve">↪ That Model the</w:t>
      </w:r>
      <w:r>
        <w:br/>
      </w:r>
      <w:r>
        <w:rPr>
          <w:rStyle w:val="NormalTok"/>
        </w:rPr>
        <w:t xml:space="preserve">{H(OX)} State of [{FeFe}]Hydrogenase: Redox</w:t>
      </w:r>
      <w:r>
        <w:br/>
      </w:r>
      <w:r>
        <w:rPr>
          <w:rStyle w:val="NormalTok"/>
        </w:rPr>
        <w:t xml:space="preserve">↪ Properties,</w:t>
      </w:r>
      <w:r>
        <w:br/>
      </w:r>
      <w:r>
        <w:rPr>
          <w:rStyle w:val="NormalTok"/>
        </w:rPr>
        <w:t xml:space="preserve">Density-Functional Theory Investigation, and</w:t>
      </w:r>
      <w:r>
        <w:br/>
      </w:r>
      <w:r>
        <w:rPr>
          <w:rStyle w:val="NormalTok"/>
        </w:rPr>
        <w:t xml:space="preserve">↪ Reactivity with</w:t>
      </w:r>
      <w:r>
        <w:br/>
      </w:r>
      <w:r>
        <w:rPr>
          <w:rStyle w:val="NormalTok"/>
        </w:rPr>
        <w:t xml:space="preserve">Extrinsic {CO}},</w:t>
      </w:r>
      <w:r>
        <w:br/>
      </w:r>
      <w:r>
        <w:rPr>
          <w:rStyle w:val="NormalTok"/>
        </w:rPr>
        <w:t xml:space="preserve">journal = {Inorg. Chem.},</w:t>
      </w:r>
      <w:r>
        <w:br/>
      </w:r>
      <w:r>
        <w:rPr>
          <w:rStyle w:val="NormalTok"/>
        </w:rPr>
        <w:t xml:space="preserve">year = {2008},</w:t>
      </w:r>
      <w:r>
        <w:br/>
      </w:r>
      <w:r>
        <w:rPr>
          <w:rStyle w:val="NormalTok"/>
        </w:rPr>
        <w:t xml:space="preserve">volume = {47},</w:t>
      </w:r>
      <w:r>
        <w:br/>
      </w:r>
      <w:r>
        <w:rPr>
          <w:rStyle w:val="NormalTok"/>
        </w:rPr>
        <w:t xml:space="preserve">number = {15},</w:t>
      </w:r>
      <w:r>
        <w:br/>
      </w:r>
      <w:r>
        <w:rPr>
          <w:rStyle w:val="NormalTok"/>
        </w:rPr>
        <w:t xml:space="preserve">pages = {7009-7024},</w:t>
      </w:r>
      <w:r>
        <w:br/>
      </w:r>
      <w:r>
        <w:rPr>
          <w:rStyle w:val="NormalTok"/>
        </w:rPr>
        <w:t xml:space="preserve">doi = {10.1021/ic800654a},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@book{Graham1995,</w:t>
      </w:r>
      <w:r>
        <w:br/>
      </w:r>
      <w:r>
        <w:rPr>
          <w:rStyle w:val="NormalTok"/>
        </w:rPr>
        <w:t xml:space="preserve">author = {Ronald L. Graham and Donald E. Knuth and Oren</w:t>
      </w:r>
      <w:r>
        <w:br/>
      </w:r>
      <w:r>
        <w:rPr>
          <w:rStyle w:val="NormalTok"/>
        </w:rPr>
        <w:t xml:space="preserve">↪ Patashnik},</w:t>
      </w:r>
      <w:r>
        <w:br/>
      </w:r>
      <w:r>
        <w:rPr>
          <w:rStyle w:val="NormalTok"/>
        </w:rPr>
        <w:t xml:space="preserve">title = {Concrete Mathematics},</w:t>
      </w:r>
      <w:r>
        <w:br/>
      </w:r>
      <w:r>
        <w:rPr>
          <w:rStyle w:val="NormalTok"/>
        </w:rPr>
        <w:t xml:space="preserve">publisher = {Addison-Wesley},</w:t>
      </w:r>
      <w:r>
        <w:br/>
      </w:r>
      <w:r>
        <w:rPr>
          <w:rStyle w:val="NormalTok"/>
        </w:rPr>
        <w:t xml:space="preserve">year = {1995},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16" w:name="fig:002"/>
      <w:r>
        <w:drawing>
          <wp:inline>
            <wp:extent cx="5334000" cy="322765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/1_1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bookmarkEnd w:id="17"/>
    <w:bookmarkStart w:id="18" w:name="X10f77917e4ca326dc8a15d6355266d73b5099c5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6.2 Перенос информации из базы данных / Transferring Information from Database</w:t>
      </w:r>
    </w:p>
    <w:p>
      <w:pPr>
        <w:pStyle w:val="FirstParagraph"/>
      </w:pPr>
      <w:r>
        <w:t xml:space="preserve">Для работы с библиографией требуется несколько шагов компиляции:</w:t>
      </w:r>
      <w:r>
        <w:t xml:space="preserve"> </w:t>
      </w:r>
      <w:r>
        <w:t xml:space="preserve">Working with bibliography requires multiple compilation steps: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natbib + BibTeX</w:t>
      </w:r>
      <w:r>
        <w:t xml:space="preserve">: LaTeX → BibTeX → LaTeX → LaTeX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biblatex + Biber</w:t>
      </w:r>
      <w:r>
        <w:t xml:space="preserve">: LaTeX → Biber → LaTeX</w:t>
      </w:r>
    </w:p>
    <w:bookmarkEnd w:id="18"/>
    <w:bookmarkStart w:id="23" w:name="X8b1526702207997b4be4d2a2dce6497894ff6c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6.3 Workflow BibTeX с natbib / The BibTeX Workflow with natbib</w:t>
      </w:r>
    </w:p>
    <w:p>
      <w:pPr>
        <w:pStyle w:val="FirstParagraph"/>
      </w:pPr>
      <w:r>
        <w:t xml:space="preserve">Пакет natbib предоставляет расширенные возможности цитирования.</w:t>
      </w:r>
      <w:r>
        <w:t xml:space="preserve"> </w:t>
      </w:r>
      <w:r>
        <w:t xml:space="preserve">The natbib package provides enhanced citation capabilities.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Математические примеры из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а химические из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Ссылки в скобках: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и затем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[p.~56]{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[См.][pp.~45--48]{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Вместе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Graham1995,Thomas2008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plainnat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learnlatex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22" w:name="fig:003"/>
      <w:r>
        <w:drawing>
          <wp:inline>
            <wp:extent cx="5334000" cy="1995587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/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bookmarkEnd w:id="23"/>
    <w:bookmarkStart w:id="28" w:name="workflow-biblatex-the-biblatex-workflow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6.4 Workflow biblatex / The biblatex Workflow</w:t>
      </w:r>
    </w:p>
    <w:p>
      <w:pPr>
        <w:pStyle w:val="FirstParagraph"/>
      </w:pPr>
      <w:r>
        <w:t xml:space="preserve">Пакет biblatex работает несколько иначе, с загрузкой ресурсов в преамбуле.</w:t>
      </w:r>
      <w:r>
        <w:t xml:space="preserve"> </w:t>
      </w:r>
      <w:r>
        <w:t xml:space="preserve">The biblatex package works differently, loading resources in the preamble.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{learnlatex.bib}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Математические примеры из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Более сложные ссылки: </w:t>
      </w:r>
      <w:r>
        <w:rPr>
          <w:rStyle w:val="KeywordTok"/>
        </w:rPr>
        <w:t xml:space="preserve">\parencite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или </w:t>
      </w:r>
      <w:r>
        <w:rPr>
          <w:rStyle w:val="KeywordTok"/>
        </w:rPr>
        <w:t xml:space="preserve">\textcite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или возможно </w:t>
      </w:r>
      <w:r>
        <w:rPr>
          <w:rStyle w:val="KeywordTok"/>
        </w:rPr>
        <w:t xml:space="preserve">\citetitle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[56]{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[См.][45-48]{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Вместе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Thomas2008,Graham1995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27" w:name="fig:004"/>
      <w:r>
        <w:drawing>
          <wp:inline>
            <wp:extent cx="5334000" cy="202367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bookmarkEnd w:id="28"/>
    <w:bookmarkStart w:id="29" w:name="X2c0d644d0c87e65e92b0aaf97c5cdb993359c07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6.5 Выбор между BibTeX и BibLaTeX / Choosing Between BibTeX and BibLaTeX</w:t>
      </w:r>
    </w:p>
    <w:p>
      <w:pPr>
        <w:pStyle w:val="FirstParagraph"/>
      </w:pPr>
      <w:r>
        <w:rPr>
          <w:b/>
          <w:bCs/>
        </w:rPr>
        <w:t xml:space="preserve">BibTeX workflow:</w:t>
      </w:r>
      <w:r>
        <w:t xml:space="preserve"> </w:t>
      </w:r>
      <w:r>
        <w:t xml:space="preserve">- Более установленный и поддерживаемый издательствами</w:t>
      </w:r>
      <w:r>
        <w:t xml:space="preserve"> </w:t>
      </w:r>
      <w:r>
        <w:t xml:space="preserve">- Использует .bst файлы для стилей</w:t>
      </w:r>
      <w:r>
        <w:t xml:space="preserve"> </w:t>
      </w:r>
      <w:r>
        <w:t xml:space="preserve">- Ограниченная поддержка Unicode</w:t>
      </w:r>
    </w:p>
    <w:p>
      <w:pPr>
        <w:pStyle w:val="BodyText"/>
      </w:pPr>
      <w:r>
        <w:rPr>
          <w:b/>
          <w:bCs/>
        </w:rPr>
        <w:t xml:space="preserve">biblatex workflow:</w:t>
      </w:r>
      <w:r>
        <w:t xml:space="preserve"> </w:t>
      </w:r>
      <w:r>
        <w:t xml:space="preserve">- Лучшая кастомизация через LaTeX команды</w:t>
      </w:r>
      <w:r>
        <w:t xml:space="preserve"> </w:t>
      </w:r>
      <w:r>
        <w:t xml:space="preserve">- Полная поддержка Unicode сортировки</w:t>
      </w:r>
      <w:r>
        <w:t xml:space="preserve"> </w:t>
      </w:r>
      <w:r>
        <w:t xml:space="preserve">- Более сложные стили цитирования</w:t>
      </w:r>
    </w:p>
    <w:bookmarkEnd w:id="29"/>
    <w:bookmarkStart w:id="30" w:name="X6177abc7b65ee183a6a14f05e38089dc594f27b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6.6 Работа с не-английской сортировкой / Dealing with Non-English Sorting</w:t>
      </w:r>
    </w:p>
    <w:p>
      <w:pPr>
        <w:pStyle w:val="FirstParagraph"/>
      </w:pPr>
      <w:r>
        <w:t xml:space="preserve">Biber обеспечивает правильную сортировку для не-английских символов.</w:t>
      </w:r>
      <w:r>
        <w:t xml:space="preserve"> </w:t>
      </w:r>
      <w:r>
        <w:t xml:space="preserve">Biber provides proper sorting for non-English characters.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M</w:t>
      </w:r>
      <w:r>
        <w:rPr>
          <w:rStyle w:val="NormalTok"/>
        </w:rPr>
        <w:t xml:space="preserve">ü</w:t>
      </w:r>
      <w:r>
        <w:rPr>
          <w:rStyle w:val="OtherTok"/>
        </w:rPr>
        <w:t xml:space="preserve">ller2023</w:t>
      </w:r>
      <w:r>
        <w:rPr>
          <w:rStyle w:val="NormalTok"/>
        </w:rPr>
        <w:t xml:space="preserve">,</w:t>
      </w:r>
      <w:r>
        <w:br/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= {Müller, Hans and École, Pierre and Смирнов, Иван},</w:t>
      </w:r>
      <w:r>
        <w:br/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= {Международное исследование},</w:t>
      </w:r>
      <w:r>
        <w:br/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{Журнал},</w:t>
      </w:r>
      <w:r>
        <w:br/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= {2023}</w:t>
      </w:r>
      <w:r>
        <w:br/>
      </w:r>
      <w:r>
        <w:rPr>
          <w:rStyle w:val="NormalTok"/>
        </w:rPr>
        <w:t xml:space="preserve">}</w:t>
      </w:r>
    </w:p>
    <w:bookmarkEnd w:id="30"/>
    <w:bookmarkStart w:id="32" w:name="гиперссылки-hyperlinks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6.7 Гиперссылки / Hyperlinks</w:t>
      </w:r>
    </w:p>
    <w:p>
      <w:pPr>
        <w:pStyle w:val="FirstParagraph"/>
      </w:pPr>
      <w:r>
        <w:t xml:space="preserve">Пакет hyperref автоматически создает ссылки в библиографии.</w:t>
      </w:r>
      <w:r>
        <w:t xml:space="preserve"> </w:t>
      </w:r>
      <w:r>
        <w:t xml:space="preserve">The hyperref package automatically creates links in bibliography.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[hidelinks]{</w:t>
      </w:r>
      <w:r>
        <w:rPr>
          <w:rStyle w:val="ExtensionTok"/>
        </w:rPr>
        <w:t xml:space="preserve">hyperref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{learnlatex.bib}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Ссылка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будет гиперссылкой.</w:t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31" w:name="fig:005"/>
      <w:bookmarkEnd w:id="31"/>
    </w:p>
    <w:bookmarkEnd w:id="32"/>
    <w:bookmarkStart w:id="33" w:name="X035c9a0446b6f736723fe61b35326ee8892ffaf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6.8 Различия в лучших практиках для BibTeX / Differences in Best Practice for BibTeX Input</w:t>
      </w:r>
    </w:p>
    <w:p>
      <w:pPr>
        <w:pStyle w:val="FirstParagraph"/>
      </w:pPr>
      <w:r>
        <w:t xml:space="preserve">Различные стили библиографии поддерживают разные поля.</w:t>
      </w:r>
      <w:r>
        <w:t xml:space="preserve"> </w:t>
      </w:r>
      <w:r>
        <w:t xml:space="preserve">Different bibliography styles support different fields.</w:t>
      </w:r>
    </w:p>
    <w:p>
      <w:pPr>
        <w:pStyle w:val="SourceCode"/>
      </w:pPr>
      <w:r>
        <w:rPr>
          <w:rStyle w:val="CommentTok"/>
        </w:rPr>
        <w:t xml:space="preserve">% Для старых стилей</w:t>
      </w:r>
      <w:r>
        <w:br/>
      </w:r>
      <w:r>
        <w:rPr>
          <w:rStyle w:val="VariableTok"/>
        </w:rPr>
        <w:t xml:space="preserve">@misc</w:t>
      </w:r>
      <w:r>
        <w:rPr>
          <w:rStyle w:val="NormalTok"/>
        </w:rPr>
        <w:t xml:space="preserve">{</w:t>
      </w:r>
      <w:r>
        <w:rPr>
          <w:rStyle w:val="OtherTok"/>
        </w:rPr>
        <w:t xml:space="preserve">Website2023</w:t>
      </w:r>
      <w:r>
        <w:rPr>
          <w:rStyle w:val="NormalTok"/>
        </w:rPr>
        <w:t xml:space="preserve">,</w:t>
      </w:r>
      <w:r>
        <w:br/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= {Author},</w:t>
      </w:r>
      <w:r>
        <w:br/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= {Website Title},</w:t>
      </w:r>
      <w:r>
        <w:br/>
      </w:r>
      <w:r>
        <w:rPr>
          <w:rStyle w:val="DataTypeTok"/>
        </w:rPr>
        <w:t xml:space="preserve">howpublished</w:t>
      </w:r>
      <w:r>
        <w:rPr>
          <w:rStyle w:val="NormalTok"/>
        </w:rPr>
        <w:t xml:space="preserve"> = {</w:t>
      </w:r>
      <w:r>
        <w:rPr>
          <w:rStyle w:val="CharTok"/>
        </w:rPr>
        <w:t xml:space="preserve">\url</w:t>
      </w:r>
      <w:r>
        <w:rPr>
          <w:rStyle w:val="NormalTok"/>
        </w:rPr>
        <w:t xml:space="preserve">{https://example.com}}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% Для новых стилей</w:t>
      </w:r>
      <w:r>
        <w:br/>
      </w:r>
      <w:r>
        <w:rPr>
          <w:rStyle w:val="VariableTok"/>
        </w:rPr>
        <w:t xml:space="preserve">@misc</w:t>
      </w:r>
      <w:r>
        <w:rPr>
          <w:rStyle w:val="NormalTok"/>
        </w:rPr>
        <w:t xml:space="preserve">{</w:t>
      </w:r>
      <w:r>
        <w:rPr>
          <w:rStyle w:val="OtherTok"/>
        </w:rPr>
        <w:t xml:space="preserve">Website2023</w:t>
      </w:r>
      <w:r>
        <w:rPr>
          <w:rStyle w:val="NormalTok"/>
        </w:rPr>
        <w:t xml:space="preserve">,</w:t>
      </w:r>
      <w:r>
        <w:br/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= {Author},</w:t>
      </w:r>
      <w:r>
        <w:br/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= {Website Title},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= {https://example.com}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63" w:name="упражнения-exercis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6.9 Упражнения / Exercises</w:t>
      </w:r>
    </w:p>
    <w:bookmarkStart w:id="43" w:name="X30cb0c0dcc109de07b0b1e8f83a1840f4e3d244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Упражнение 1: Использовать примеры с natbib и biblatex</w:t>
      </w:r>
    </w:p>
    <w:p>
      <w:pPr>
        <w:pStyle w:val="FirstParagraph"/>
      </w:pPr>
      <w:r>
        <w:rPr>
          <w:b/>
          <w:bCs/>
        </w:rPr>
        <w:t xml:space="preserve">natbib workflow: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Ссылка на книгу: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 Ссылка на статью: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plainnat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learnlatex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Компиляция: LaTeX → BibTeX → LaTeX → LaTeX</w:t>
      </w:r>
    </w:p>
    <w:p>
      <w:pPr>
        <w:pStyle w:val="BodyText"/>
      </w:pPr>
      <w:bookmarkStart w:id="38" w:name="fig:006"/>
      <w:r>
        <w:drawing>
          <wp:inline>
            <wp:extent cx="5334000" cy="184867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6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rPr>
          <w:b/>
          <w:bCs/>
        </w:rPr>
        <w:t xml:space="preserve">biblatex workflow: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{learnlatex.bib}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Авторская ссылка: </w:t>
      </w:r>
      <w:r>
        <w:rPr>
          <w:rStyle w:val="KeywordTok"/>
        </w:rPr>
        <w:t xml:space="preserve">\textcite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 Скобочная ссылка: </w:t>
      </w:r>
      <w:r>
        <w:rPr>
          <w:rStyle w:val="KeywordTok"/>
        </w:rPr>
        <w:t xml:space="preserve">\parencite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Компиляция: LaTeX → Biber → LaTeX</w:t>
      </w:r>
    </w:p>
    <w:p>
      <w:pPr>
        <w:pStyle w:val="BodyText"/>
      </w:pPr>
      <w:bookmarkStart w:id="42" w:name="fig:007"/>
      <w:r>
        <w:drawing>
          <wp:inline>
            <wp:extent cx="5334000" cy="201809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bookmarkEnd w:id="43"/>
    <w:bookmarkStart w:id="48" w:name="X1bb9bb7f269b83d50a8e1f5473bb74208ec0b30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Упражнение 2: Создать новые записи в базе данных и новые ссылки</w:t>
      </w:r>
    </w:p>
    <w:p>
      <w:pPr>
        <w:pStyle w:val="FirstParagraph"/>
      </w:pPr>
      <w:r>
        <w:rPr>
          <w:b/>
          <w:bCs/>
        </w:rPr>
        <w:t xml:space="preserve">Новая запись в learnlatex.bib: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Einstein1905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= {Albert Einstein},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= {On the Electrodynamics of Moving Bodies},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{Annalen der Physik},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= {1905},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volume</w:t>
      </w:r>
      <w:r>
        <w:rPr>
          <w:rStyle w:val="NormalTok"/>
        </w:rPr>
        <w:t xml:space="preserve"> = {322},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= {10},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pages</w:t>
      </w:r>
      <w:r>
        <w:rPr>
          <w:rStyle w:val="NormalTok"/>
        </w:rPr>
        <w:t xml:space="preserve"> = {891--921},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doi</w:t>
      </w:r>
      <w:r>
        <w:rPr>
          <w:rStyle w:val="NormalTok"/>
        </w:rPr>
        <w:t xml:space="preserve"> = {10.1002/andp.19053221004}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Документ с новой ссылкой: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{learnlatex.bib}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Новая ссылка: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Einstein1905</w:t>
      </w:r>
      <w:r>
        <w:rPr>
          <w:rStyle w:val="NormalTok"/>
        </w:rPr>
        <w:t xml:space="preserve">}. Комбинированные ссылки: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Graham1995,Einstein1905,Thomas2008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47" w:name="fig:008"/>
      <w:r>
        <w:drawing>
          <wp:inline>
            <wp:extent cx="5334000" cy="198315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bookmarkEnd w:id="48"/>
    <w:bookmarkStart w:id="53" w:name="X431fa8c486edf75aa85be82c31434395bbbc0a1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Упражнение 3: Добавить ссылку на отсутствующую запись в базе данных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{learnlatex.bib}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Ссылка на существующую запись: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Ссылка на отсутствующую запись: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MissingEntry2024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Комбинированные ссылки: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Graham1995,MissingEntry2024,Thomas2008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52" w:name="fig:009"/>
      <w:r>
        <w:drawing>
          <wp:inline>
            <wp:extent cx="5334000" cy="249991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9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bookmarkEnd w:id="53"/>
    <w:bookmarkStart w:id="62" w:name="Xc804b2b711e037736f5482880646b1a4436ad4e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Упражнение 4: Экспериментировать с числовыми стилями библиографии</w:t>
      </w:r>
    </w:p>
    <w:p>
      <w:pPr>
        <w:pStyle w:val="FirstParagraph"/>
      </w:pPr>
      <w:r>
        <w:rPr>
          <w:b/>
          <w:bCs/>
        </w:rPr>
        <w:t xml:space="preserve">natbib с числовым стилем: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[numbers]{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Числовые ссылки: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и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Множественные ссылки: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Graham1995,Thomas2008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plainnat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learnlatex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57" w:name="fig:010"/>
      <w:r>
        <w:drawing>
          <wp:inline>
            <wp:extent cx="5334000" cy="2060118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10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r>
        <w:rPr>
          <w:b/>
          <w:bCs/>
        </w:rPr>
        <w:t xml:space="preserve">biblatex с числовым стилем: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[style=numeric]{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{learnlatex.bib}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Числовые ссылки: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и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Множественные ссылки: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Graham1995,Thomas2008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61" w:name="fig:011"/>
      <w:r>
        <w:drawing>
          <wp:inline>
            <wp:extent cx="5334000" cy="211124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bookmarkEnd w:id="62"/>
    <w:bookmarkEnd w:id="63"/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№6 я освоил методы работы с библиографией в LaTeX. Изучил два основных подхода: традиционный workflow с natbib и BibTeX, а также современный подход с biblatex и Biber. Научился создавать библиографические базы данных, управлять стилями цитирования, работать с не-английской сортировкой и создавать гиперссылки в библиографии.</w:t>
      </w:r>
    </w:p>
    <w:p>
      <w:pPr>
        <w:pStyle w:val="BodyText"/>
      </w:pPr>
      <w:r>
        <w:t xml:space="preserve">In this lab work #6, I mastered bibliography management methods in LaTeX. I studied two main approaches: traditional workflow with natbib and BibTeX, as well as modern approach with biblatex and Biber. I learned to create bibliographic databases, manage citation styles, work with non-English sorting, and create hyperlinks in bibliography.</w:t>
      </w:r>
    </w:p>
    <w:bookmarkEnd w:id="65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Practical scientific writing - Tables chapter</w:t>
      </w:r>
    </w:p>
    <w:p>
      <w:pPr>
        <w:pStyle w:val="Compact"/>
        <w:numPr>
          <w:ilvl w:val="0"/>
          <w:numId w:val="1003"/>
        </w:numPr>
      </w:pPr>
      <w:r>
        <w:t xml:space="preserve">LaTeX/Tables - Wikibooks. https://en.wikibooks.org/wiki/LaTeX/Tables</w:t>
      </w:r>
    </w:p>
    <w:p>
      <w:pPr>
        <w:pStyle w:val="Compact"/>
        <w:numPr>
          <w:ilvl w:val="0"/>
          <w:numId w:val="1003"/>
        </w:numPr>
      </w:pPr>
      <w:r>
        <w:t xml:space="preserve">array package documentation</w:t>
      </w:r>
    </w:p>
    <w:p>
      <w:pPr>
        <w:pStyle w:val="Compact"/>
        <w:numPr>
          <w:ilvl w:val="0"/>
          <w:numId w:val="1003"/>
        </w:numPr>
      </w:pPr>
      <w:r>
        <w:t xml:space="preserve">booktabs package documentation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13" Target="media/rId13.jpg" /><Relationship Type="http://schemas.openxmlformats.org/officeDocument/2006/relationships/image" Id="rId19" Target="media/rId19.jpg" /><Relationship Type="http://schemas.openxmlformats.org/officeDocument/2006/relationships/image" Id="rId24" Target="media/rId24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4" Target="media/rId44.jpg" /><Relationship Type="http://schemas.openxmlformats.org/officeDocument/2006/relationships/image" Id="rId49" Target="media/rId4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Коне Сирики</dc:creator>
  <dc:language>ru-RU</dc:language>
  <cp:keywords/>
  <dcterms:created xsi:type="dcterms:W3CDTF">2025-11-12T14:06:38Z</dcterms:created>
  <dcterms:modified xsi:type="dcterms:W3CDTF">2025-11-12T14:06:38Z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Working with Bibliography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