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5521D2" w:rsidP="1078B372" w:rsidRDefault="715521D2" w14:paraId="154B6607" w14:textId="0938B7DC">
      <w:pPr>
        <w:jc w:val="center"/>
        <w:rPr>
          <w:sz w:val="28"/>
          <w:szCs w:val="28"/>
        </w:rPr>
      </w:pPr>
      <w:r w:rsidRPr="007CD78B" w:rsidR="707C1C7C">
        <w:rPr>
          <w:sz w:val="28"/>
          <w:szCs w:val="28"/>
        </w:rPr>
        <w:t>Security</w:t>
      </w:r>
      <w:r w:rsidRPr="007CD78B" w:rsidR="715521D2">
        <w:rPr>
          <w:sz w:val="28"/>
          <w:szCs w:val="28"/>
        </w:rPr>
        <w:t xml:space="preserve"> </w:t>
      </w:r>
      <w:r w:rsidRPr="007CD78B" w:rsidR="715521D2">
        <w:rPr>
          <w:sz w:val="28"/>
          <w:szCs w:val="28"/>
        </w:rPr>
        <w:t>risk document</w:t>
      </w:r>
    </w:p>
    <w:p w:rsidR="1078B372" w:rsidRDefault="1078B372" w14:paraId="054FF44C" w14:textId="3DD4EC8C"/>
    <w:p xmlns:wp14="http://schemas.microsoft.com/office/word/2010/wordml" w14:paraId="482BC72A" wp14:textId="23866DF8">
      <w:bookmarkStart w:name="_GoBack" w:id="0"/>
      <w:bookmarkEnd w:id="0"/>
      <w:r w:rsidR="715521D2">
        <w:rPr/>
        <w:t>1. Executive Summary</w:t>
      </w:r>
    </w:p>
    <w:p xmlns:wp14="http://schemas.microsoft.com/office/word/2010/wordml" w:rsidP="1078B372" w14:paraId="194368B5" wp14:textId="30B88273">
      <w:pPr>
        <w:pStyle w:val="Normal"/>
      </w:pPr>
      <w:r w:rsidR="715521D2">
        <w:rPr/>
        <w:t xml:space="preserve">The security assessment of RealtyHub was conducted to evaluate its handling of the OWASP Top 10 security risks. The assessment revealed several strengths in mitigating certain risks, but also </w:t>
      </w:r>
      <w:r w:rsidR="715521D2">
        <w:rPr/>
        <w:t>identified</w:t>
      </w:r>
      <w:r w:rsidR="715521D2">
        <w:rPr/>
        <w:t xml:space="preserve"> areas of concern that require immediate attention. The report </w:t>
      </w:r>
      <w:r w:rsidR="715521D2">
        <w:rPr/>
        <w:t>provides</w:t>
      </w:r>
      <w:r w:rsidR="715521D2">
        <w:rPr/>
        <w:t xml:space="preserve"> detailed findings, risk ratings, and actionable recommendations to enhance the overall security posture of the application.</w:t>
      </w:r>
    </w:p>
    <w:p xmlns:wp14="http://schemas.microsoft.com/office/word/2010/wordml" w:rsidP="1078B372" w14:paraId="4206CEE0" wp14:textId="719A1586">
      <w:pPr>
        <w:pStyle w:val="Normal"/>
      </w:pPr>
      <w:r w:rsidR="715521D2">
        <w:rPr/>
        <w:t>2. Introduction</w:t>
      </w:r>
    </w:p>
    <w:p xmlns:wp14="http://schemas.microsoft.com/office/word/2010/wordml" w:rsidP="1078B372" w14:paraId="5A365C0D" wp14:textId="04B11FC2">
      <w:pPr>
        <w:pStyle w:val="Normal"/>
      </w:pPr>
      <w:r w:rsidR="06F64FF6">
        <w:rPr/>
        <w:t xml:space="preserve">The website </w:t>
      </w:r>
      <w:r w:rsidR="06F64FF6">
        <w:rPr/>
        <w:t>RealtyHub</w:t>
      </w:r>
      <w:r w:rsidR="06F64FF6">
        <w:rPr/>
        <w:t xml:space="preserve"> manages accommodations and housings and lets users post and purchase houses or apartments. Its purpose is to give the users</w:t>
      </w:r>
      <w:r w:rsidR="3F349EC3">
        <w:rPr/>
        <w:t xml:space="preserve"> a reliable website for housing</w:t>
      </w:r>
      <w:r w:rsidR="5BF6E944">
        <w:rPr/>
        <w:t>. It is crucial to assess and address the OWASP top 10 security risks since this website will be acce</w:t>
      </w:r>
      <w:r w:rsidR="3B495BDD">
        <w:rPr/>
        <w:t>ssible to a wide variety of users and I need to ensur</w:t>
      </w:r>
      <w:r w:rsidR="6DA54668">
        <w:rPr/>
        <w:t>e the application’s resilience against common vulnerabilities.</w:t>
      </w:r>
    </w:p>
    <w:p xmlns:wp14="http://schemas.microsoft.com/office/word/2010/wordml" w:rsidP="1078B372" w14:paraId="7E280EDD" wp14:textId="3E2F051F">
      <w:pPr>
        <w:pStyle w:val="Normal"/>
      </w:pPr>
      <w:r w:rsidR="715521D2">
        <w:rPr/>
        <w:t>3. Methodology</w:t>
      </w:r>
    </w:p>
    <w:p xmlns:wp14="http://schemas.microsoft.com/office/word/2010/wordml" w:rsidP="1078B372" w14:paraId="4FF8713C" wp14:textId="6DC6DCE1">
      <w:pPr>
        <w:pStyle w:val="Normal"/>
      </w:pPr>
      <w:r w:rsidR="715521D2">
        <w:rPr/>
        <w:t>The assessment followed a comprehensive methodology that included a combination of manual code reviews, automated vulnerability scanning, and penetration testing techniques. Various security tools and expert knowledge were utilized to gather accurate findings and assess the application's security controls effectively.</w:t>
      </w:r>
    </w:p>
    <w:p xmlns:wp14="http://schemas.microsoft.com/office/word/2010/wordml" w:rsidP="1078B372" w14:paraId="7E0207A1" wp14:textId="28596612">
      <w:pPr>
        <w:pStyle w:val="Normal"/>
      </w:pPr>
      <w:r w:rsidR="715521D2">
        <w:rPr/>
        <w:t>4. Scope</w:t>
      </w:r>
    </w:p>
    <w:p xmlns:wp14="http://schemas.microsoft.com/office/word/2010/wordml" w:rsidP="1078B372" w14:paraId="5FCD8AC7" wp14:textId="6551A852">
      <w:pPr>
        <w:pStyle w:val="Normal"/>
      </w:pPr>
      <w:r w:rsidR="715521D2">
        <w:rPr/>
        <w:t xml:space="preserve">The assessment focused on evaluating the security of </w:t>
      </w:r>
      <w:r w:rsidR="6589AE4D">
        <w:rPr/>
        <w:t>RealtyHub</w:t>
      </w:r>
      <w:r w:rsidR="715521D2">
        <w:rPr/>
        <w:t xml:space="preserve"> with regards to its core modules, APIs, and database interactions. The assessment excluded third-party components and infrastructure elements outside the application's direct control.</w:t>
      </w:r>
    </w:p>
    <w:p xmlns:wp14="http://schemas.microsoft.com/office/word/2010/wordml" w:rsidP="1078B372" w14:paraId="014BDE65" wp14:textId="4E7C4D93">
      <w:pPr>
        <w:pStyle w:val="Normal"/>
      </w:pPr>
      <w:r w:rsidR="66FED65D">
        <w:rPr/>
        <w:t>5</w:t>
      </w:r>
      <w:r w:rsidR="715521D2">
        <w:rPr/>
        <w:t>. Risk Assessment</w:t>
      </w:r>
    </w:p>
    <w:p xmlns:wp14="http://schemas.microsoft.com/office/word/2010/wordml" w:rsidP="1078B372" w14:paraId="7D602D7F" wp14:textId="30B4765F">
      <w:pPr>
        <w:pStyle w:val="Normal"/>
      </w:pPr>
      <w:r w:rsidR="715521D2">
        <w:rPr/>
        <w:t>In this section, each OWASP Top 10 risk is assessed individually. For each risk, the report provides the following details:</w:t>
      </w:r>
    </w:p>
    <w:tbl>
      <w:tblPr>
        <w:tblStyle w:val="TableGrid"/>
        <w:tblW w:w="0" w:type="auto"/>
        <w:tblLayout w:type="fixed"/>
        <w:tblLook w:val="06A0" w:firstRow="1" w:lastRow="0" w:firstColumn="1" w:lastColumn="0" w:noHBand="1" w:noVBand="1"/>
      </w:tblPr>
      <w:tblGrid>
        <w:gridCol w:w="1998"/>
        <w:gridCol w:w="1260"/>
        <w:gridCol w:w="1422"/>
        <w:gridCol w:w="2485"/>
        <w:gridCol w:w="2307"/>
      </w:tblGrid>
      <w:tr w:rsidR="1078B372" w:rsidTr="6C19F580" w14:paraId="2BCADCC5">
        <w:trPr>
          <w:trHeight w:val="300"/>
        </w:trPr>
        <w:tc>
          <w:tcPr>
            <w:tcW w:w="1998" w:type="dxa"/>
            <w:tcMar/>
          </w:tcPr>
          <w:p w:rsidR="78B46AB2" w:rsidP="1078B372" w:rsidRDefault="78B46AB2" w14:paraId="1B1FA4B1" w14:textId="31335788">
            <w:pPr>
              <w:pStyle w:val="Normal"/>
            </w:pPr>
            <w:r w:rsidR="78B46AB2">
              <w:rPr/>
              <w:t>Attack type</w:t>
            </w:r>
          </w:p>
        </w:tc>
        <w:tc>
          <w:tcPr>
            <w:tcW w:w="1260" w:type="dxa"/>
            <w:tcMar/>
          </w:tcPr>
          <w:p w:rsidR="78B46AB2" w:rsidP="1078B372" w:rsidRDefault="78B46AB2" w14:paraId="287EEF83" w14:textId="0CEB5728">
            <w:pPr>
              <w:pStyle w:val="Normal"/>
            </w:pPr>
            <w:r w:rsidR="78B46AB2">
              <w:rPr/>
              <w:t>Like</w:t>
            </w:r>
            <w:r w:rsidR="78B46AB2">
              <w:rPr/>
              <w:t>lihood</w:t>
            </w:r>
          </w:p>
        </w:tc>
        <w:tc>
          <w:tcPr>
            <w:tcW w:w="1422" w:type="dxa"/>
            <w:tcMar/>
          </w:tcPr>
          <w:p w:rsidR="78B46AB2" w:rsidP="1078B372" w:rsidRDefault="78B46AB2" w14:paraId="1080F583" w14:textId="2E6E8EC7">
            <w:pPr>
              <w:pStyle w:val="Normal"/>
            </w:pPr>
            <w:r w:rsidR="78B46AB2">
              <w:rPr/>
              <w:t>Impact</w:t>
            </w:r>
          </w:p>
        </w:tc>
        <w:tc>
          <w:tcPr>
            <w:tcW w:w="2485" w:type="dxa"/>
            <w:tcMar/>
          </w:tcPr>
          <w:p w:rsidR="78B46AB2" w:rsidP="1078B372" w:rsidRDefault="78B46AB2" w14:paraId="4BA0C586" w14:textId="16869593">
            <w:pPr>
              <w:pStyle w:val="Normal"/>
            </w:pPr>
            <w:r w:rsidR="78B46AB2">
              <w:rPr/>
              <w:t>Risk</w:t>
            </w:r>
          </w:p>
        </w:tc>
        <w:tc>
          <w:tcPr>
            <w:tcW w:w="2307" w:type="dxa"/>
            <w:tcMar/>
          </w:tcPr>
          <w:p w:rsidR="78B46AB2" w:rsidP="1078B372" w:rsidRDefault="78B46AB2" w14:paraId="734C039A" w14:textId="710B6A03">
            <w:pPr>
              <w:pStyle w:val="Normal"/>
            </w:pPr>
            <w:r w:rsidR="78B46AB2">
              <w:rPr/>
              <w:t>Action</w:t>
            </w:r>
          </w:p>
        </w:tc>
      </w:tr>
      <w:tr w:rsidR="1078B372" w:rsidTr="6C19F580" w14:paraId="424AF7E2">
        <w:trPr>
          <w:trHeight w:val="300"/>
        </w:trPr>
        <w:tc>
          <w:tcPr>
            <w:tcW w:w="1998" w:type="dxa"/>
            <w:tcMar/>
          </w:tcPr>
          <w:p w:rsidR="78B46AB2" w:rsidP="1078B372" w:rsidRDefault="78B46AB2" w14:paraId="060FB302" w14:textId="0E7D41EF">
            <w:pPr>
              <w:pStyle w:val="Normal"/>
            </w:pPr>
            <w:r w:rsidR="78B46AB2">
              <w:rPr/>
              <w:t>A01</w:t>
            </w:r>
            <w:r w:rsidR="10452C19">
              <w:rPr/>
              <w:t>:</w:t>
            </w:r>
            <w:r w:rsidR="464A470D">
              <w:rPr/>
              <w:t xml:space="preserve"> </w:t>
            </w:r>
            <w:r w:rsidR="1BFEADE2">
              <w:rPr/>
              <w:t>Broken Access Control</w:t>
            </w:r>
          </w:p>
        </w:tc>
        <w:tc>
          <w:tcPr>
            <w:tcW w:w="1260" w:type="dxa"/>
            <w:tcMar/>
          </w:tcPr>
          <w:p w:rsidR="7779BA31" w:rsidP="1078B372" w:rsidRDefault="7779BA31" w14:paraId="438DB86E" w14:textId="077392A1">
            <w:pPr>
              <w:pStyle w:val="Normal"/>
            </w:pPr>
            <w:r w:rsidR="7779BA31">
              <w:rPr/>
              <w:t>Moderate</w:t>
            </w:r>
          </w:p>
        </w:tc>
        <w:tc>
          <w:tcPr>
            <w:tcW w:w="1422" w:type="dxa"/>
            <w:tcMar/>
          </w:tcPr>
          <w:p w:rsidR="3108FD1D" w:rsidP="1078B372" w:rsidRDefault="3108FD1D" w14:paraId="551F2521" w14:textId="7863C25F">
            <w:pPr>
              <w:pStyle w:val="Normal"/>
            </w:pPr>
            <w:r w:rsidR="3108FD1D">
              <w:rPr/>
              <w:t>High</w:t>
            </w:r>
          </w:p>
        </w:tc>
        <w:tc>
          <w:tcPr>
            <w:tcW w:w="2485" w:type="dxa"/>
            <w:tcMar/>
          </w:tcPr>
          <w:p w:rsidR="384724B3" w:rsidP="1078B372" w:rsidRDefault="384724B3" w14:paraId="0251422F" w14:textId="2884F7A2">
            <w:pPr>
              <w:pStyle w:val="Normal"/>
            </w:pPr>
            <w:r w:rsidR="384724B3">
              <w:rPr/>
              <w:t>users act outside of their intended permissions</w:t>
            </w:r>
          </w:p>
        </w:tc>
        <w:tc>
          <w:tcPr>
            <w:tcW w:w="2307" w:type="dxa"/>
            <w:tcMar/>
          </w:tcPr>
          <w:p w:rsidR="1078B372" w:rsidP="1078B372" w:rsidRDefault="1078B372" w14:paraId="39AC0C61" w14:textId="64E02FBC">
            <w:pPr>
              <w:pStyle w:val="Normal"/>
            </w:pPr>
            <w:r w:rsidR="4A7CED97">
              <w:rPr/>
              <w:t>Use of role base authentication and deny all access by default</w:t>
            </w:r>
          </w:p>
        </w:tc>
      </w:tr>
      <w:tr w:rsidR="1078B372" w:rsidTr="6C19F580" w14:paraId="782E0A23">
        <w:trPr>
          <w:trHeight w:val="300"/>
        </w:trPr>
        <w:tc>
          <w:tcPr>
            <w:tcW w:w="1998" w:type="dxa"/>
            <w:tcMar/>
          </w:tcPr>
          <w:p w:rsidR="78B46AB2" w:rsidP="1078B372" w:rsidRDefault="78B46AB2" w14:paraId="41A8A6E7" w14:textId="7FE3C59A">
            <w:pPr>
              <w:pStyle w:val="Normal"/>
            </w:pPr>
            <w:r w:rsidR="78B46AB2">
              <w:rPr/>
              <w:t>A02</w:t>
            </w:r>
            <w:r w:rsidR="0F48B611">
              <w:rPr/>
              <w:t>:</w:t>
            </w:r>
            <w:r w:rsidR="019A6623">
              <w:rPr/>
              <w:t xml:space="preserve"> </w:t>
            </w:r>
            <w:r w:rsidR="14DE92E7">
              <w:rPr/>
              <w:t>Cryptographic Failures</w:t>
            </w:r>
          </w:p>
        </w:tc>
        <w:tc>
          <w:tcPr>
            <w:tcW w:w="1260" w:type="dxa"/>
            <w:tcMar/>
          </w:tcPr>
          <w:p w:rsidR="78205EA6" w:rsidP="1078B372" w:rsidRDefault="78205EA6" w14:paraId="7B3A5E06" w14:textId="28146649">
            <w:pPr>
              <w:pStyle w:val="Normal"/>
            </w:pPr>
            <w:r w:rsidR="78205EA6">
              <w:rPr/>
              <w:t>High</w:t>
            </w:r>
          </w:p>
        </w:tc>
        <w:tc>
          <w:tcPr>
            <w:tcW w:w="1422" w:type="dxa"/>
            <w:tcMar/>
          </w:tcPr>
          <w:p w:rsidR="2C12BC39" w:rsidP="1078B372" w:rsidRDefault="2C12BC39" w14:paraId="59194BC7" w14:textId="5F03BE53">
            <w:pPr>
              <w:pStyle w:val="Normal"/>
            </w:pPr>
            <w:r w:rsidR="2C12BC39">
              <w:rPr/>
              <w:t>High</w:t>
            </w:r>
          </w:p>
        </w:tc>
        <w:tc>
          <w:tcPr>
            <w:tcW w:w="2485" w:type="dxa"/>
            <w:tcMar/>
          </w:tcPr>
          <w:p w:rsidR="1516112B" w:rsidP="1078B372" w:rsidRDefault="1516112B" w14:paraId="59D17AF8" w14:textId="5E1B5DEE">
            <w:pPr>
              <w:pStyle w:val="Normal"/>
            </w:pPr>
            <w:r w:rsidR="1516112B">
              <w:rPr/>
              <w:t>third</w:t>
            </w:r>
            <w:r w:rsidR="1516112B">
              <w:rPr/>
              <w:t>-party entity exposes sensitive data</w:t>
            </w:r>
          </w:p>
        </w:tc>
        <w:tc>
          <w:tcPr>
            <w:tcW w:w="2307" w:type="dxa"/>
            <w:tcMar/>
          </w:tcPr>
          <w:p w:rsidR="1078B372" w:rsidP="1078B372" w:rsidRDefault="1078B372" w14:paraId="744C1FA2" w14:textId="1E429666">
            <w:pPr>
              <w:pStyle w:val="Normal"/>
            </w:pPr>
            <w:r w:rsidR="0082088C">
              <w:rPr/>
              <w:t>Plain text passwords should always be converted into cipher text or encrypt them</w:t>
            </w:r>
          </w:p>
        </w:tc>
      </w:tr>
      <w:tr w:rsidR="1078B372" w:rsidTr="6C19F580" w14:paraId="2889E826">
        <w:trPr>
          <w:trHeight w:val="300"/>
        </w:trPr>
        <w:tc>
          <w:tcPr>
            <w:tcW w:w="1998" w:type="dxa"/>
            <w:tcMar/>
          </w:tcPr>
          <w:p w:rsidR="78B46AB2" w:rsidP="1078B372" w:rsidRDefault="78B46AB2" w14:paraId="31331570" w14:textId="2A169E81">
            <w:pPr>
              <w:pStyle w:val="Normal"/>
            </w:pPr>
            <w:r w:rsidR="78B46AB2">
              <w:rPr/>
              <w:t>A03</w:t>
            </w:r>
            <w:r w:rsidR="0F48B611">
              <w:rPr/>
              <w:t>:</w:t>
            </w:r>
            <w:r w:rsidR="4CB0DD71">
              <w:rPr/>
              <w:t xml:space="preserve"> </w:t>
            </w:r>
            <w:r w:rsidR="09A24E12">
              <w:rPr/>
              <w:t>Injection</w:t>
            </w:r>
          </w:p>
        </w:tc>
        <w:tc>
          <w:tcPr>
            <w:tcW w:w="1260" w:type="dxa"/>
            <w:tcMar/>
          </w:tcPr>
          <w:p w:rsidR="48572125" w:rsidP="1078B372" w:rsidRDefault="48572125" w14:paraId="456D4B00" w14:textId="75E04262">
            <w:pPr>
              <w:pStyle w:val="Normal"/>
            </w:pPr>
            <w:r w:rsidR="48572125">
              <w:rPr/>
              <w:t>Moderate</w:t>
            </w:r>
          </w:p>
        </w:tc>
        <w:tc>
          <w:tcPr>
            <w:tcW w:w="1422" w:type="dxa"/>
            <w:tcMar/>
          </w:tcPr>
          <w:p w:rsidR="6880D8D6" w:rsidP="1078B372" w:rsidRDefault="6880D8D6" w14:paraId="4CC96D71" w14:textId="4718F327">
            <w:pPr>
              <w:pStyle w:val="Normal"/>
            </w:pPr>
            <w:r w:rsidR="6880D8D6">
              <w:rPr/>
              <w:t>High</w:t>
            </w:r>
          </w:p>
        </w:tc>
        <w:tc>
          <w:tcPr>
            <w:tcW w:w="2485" w:type="dxa"/>
            <w:tcMar/>
          </w:tcPr>
          <w:p w:rsidR="5F4F2E3E" w:rsidP="1078B372" w:rsidRDefault="5F4F2E3E" w14:paraId="2D212949" w14:textId="06471862">
            <w:pPr>
              <w:pStyle w:val="Normal"/>
            </w:pPr>
            <w:r w:rsidR="5F4F2E3E">
              <w:rPr/>
              <w:t>send data to an application in a way that will change the meaning of commands</w:t>
            </w:r>
          </w:p>
        </w:tc>
        <w:tc>
          <w:tcPr>
            <w:tcW w:w="2307" w:type="dxa"/>
            <w:tcMar/>
          </w:tcPr>
          <w:p w:rsidR="1078B372" w:rsidP="1078B372" w:rsidRDefault="1078B372" w14:paraId="7EA80799" w14:textId="35EA63F6">
            <w:pPr>
              <w:pStyle w:val="Normal"/>
            </w:pPr>
            <w:r w:rsidR="0C3DE517">
              <w:rPr/>
              <w:t>use of prepared statements with variable binding</w:t>
            </w:r>
          </w:p>
        </w:tc>
      </w:tr>
      <w:tr w:rsidR="1078B372" w:rsidTr="6C19F580" w14:paraId="1B8FFD97">
        <w:trPr>
          <w:trHeight w:val="300"/>
        </w:trPr>
        <w:tc>
          <w:tcPr>
            <w:tcW w:w="1998" w:type="dxa"/>
            <w:tcMar/>
          </w:tcPr>
          <w:p w:rsidR="78B46AB2" w:rsidP="1078B372" w:rsidRDefault="78B46AB2" w14:paraId="03C0B9C5" w14:textId="14E49BD9">
            <w:pPr>
              <w:pStyle w:val="Normal"/>
            </w:pPr>
            <w:r w:rsidR="78B46AB2">
              <w:rPr/>
              <w:t>A04</w:t>
            </w:r>
            <w:r w:rsidR="687F13FE">
              <w:rPr/>
              <w:t>:</w:t>
            </w:r>
            <w:r w:rsidR="2C964319">
              <w:rPr/>
              <w:t xml:space="preserve"> </w:t>
            </w:r>
            <w:r w:rsidR="46056B78">
              <w:rPr/>
              <w:t>Insecure Design</w:t>
            </w:r>
          </w:p>
        </w:tc>
        <w:tc>
          <w:tcPr>
            <w:tcW w:w="1260" w:type="dxa"/>
            <w:tcMar/>
          </w:tcPr>
          <w:p w:rsidR="1078B372" w:rsidP="1078B372" w:rsidRDefault="1078B372" w14:paraId="134274DD" w14:textId="294D0054">
            <w:pPr>
              <w:pStyle w:val="Normal"/>
            </w:pPr>
            <w:r w:rsidR="42D33DA6">
              <w:rPr/>
              <w:t>low</w:t>
            </w:r>
          </w:p>
        </w:tc>
        <w:tc>
          <w:tcPr>
            <w:tcW w:w="1422" w:type="dxa"/>
            <w:tcMar/>
          </w:tcPr>
          <w:p w:rsidR="3F37DC52" w:rsidP="1078B372" w:rsidRDefault="3F37DC52" w14:paraId="7A4644D5" w14:textId="4AE165DE">
            <w:pPr>
              <w:pStyle w:val="Normal"/>
            </w:pPr>
            <w:r w:rsidR="3F37DC52">
              <w:rPr/>
              <w:t>Low</w:t>
            </w:r>
          </w:p>
        </w:tc>
        <w:tc>
          <w:tcPr>
            <w:tcW w:w="2485" w:type="dxa"/>
            <w:tcMar/>
          </w:tcPr>
          <w:p w:rsidR="50B1484E" w:rsidP="1078B372" w:rsidRDefault="50B1484E" w14:paraId="19F3BCE2" w14:textId="77618905">
            <w:pPr>
              <w:pStyle w:val="Normal"/>
            </w:pPr>
            <w:r w:rsidR="50B1484E">
              <w:rPr/>
              <w:t>critical design and architectural flaws in web applications that hackers can exploit</w:t>
            </w:r>
          </w:p>
        </w:tc>
        <w:tc>
          <w:tcPr>
            <w:tcW w:w="2307" w:type="dxa"/>
            <w:tcMar/>
          </w:tcPr>
          <w:p w:rsidR="1078B372" w:rsidP="1078B372" w:rsidRDefault="1078B372" w14:paraId="5BA26CF5" w14:textId="33805144">
            <w:pPr>
              <w:pStyle w:val="Normal"/>
            </w:pPr>
            <w:r w:rsidR="029CE6F4">
              <w:rPr/>
              <w:t>N/A</w:t>
            </w:r>
          </w:p>
        </w:tc>
      </w:tr>
      <w:tr w:rsidR="1078B372" w:rsidTr="6C19F580" w14:paraId="3C6CA11F">
        <w:trPr>
          <w:trHeight w:val="300"/>
        </w:trPr>
        <w:tc>
          <w:tcPr>
            <w:tcW w:w="1998" w:type="dxa"/>
            <w:tcMar/>
          </w:tcPr>
          <w:p w:rsidR="78B46AB2" w:rsidP="1078B372" w:rsidRDefault="78B46AB2" w14:paraId="25C5E38D" w14:textId="6299AFC0">
            <w:pPr>
              <w:pStyle w:val="Normal"/>
            </w:pPr>
            <w:r w:rsidR="78B46AB2">
              <w:rPr/>
              <w:t>A05</w:t>
            </w:r>
            <w:r w:rsidR="687F13FE">
              <w:rPr/>
              <w:t>:</w:t>
            </w:r>
            <w:r w:rsidR="0F2B7CE5">
              <w:rPr/>
              <w:t xml:space="preserve"> </w:t>
            </w:r>
            <w:r w:rsidR="1E7910E2">
              <w:rPr/>
              <w:t>Security Misconfiguration</w:t>
            </w:r>
          </w:p>
        </w:tc>
        <w:tc>
          <w:tcPr>
            <w:tcW w:w="1260" w:type="dxa"/>
            <w:tcMar/>
          </w:tcPr>
          <w:p w:rsidR="3597A239" w:rsidP="1078B372" w:rsidRDefault="3597A239" w14:paraId="11D1C2E0" w14:textId="7AC0C22F">
            <w:pPr>
              <w:pStyle w:val="Normal"/>
            </w:pPr>
            <w:r w:rsidR="3597A239">
              <w:rPr/>
              <w:t>Unlikely</w:t>
            </w:r>
          </w:p>
        </w:tc>
        <w:tc>
          <w:tcPr>
            <w:tcW w:w="1422" w:type="dxa"/>
            <w:tcMar/>
          </w:tcPr>
          <w:p w:rsidR="47D34B6F" w:rsidP="1078B372" w:rsidRDefault="47D34B6F" w14:paraId="44FB05E2" w14:textId="6C8F2AD7">
            <w:pPr>
              <w:pStyle w:val="Normal"/>
            </w:pPr>
            <w:r w:rsidR="47D34B6F">
              <w:rPr/>
              <w:t>Moderate</w:t>
            </w:r>
          </w:p>
        </w:tc>
        <w:tc>
          <w:tcPr>
            <w:tcW w:w="2485" w:type="dxa"/>
            <w:tcMar/>
          </w:tcPr>
          <w:p w:rsidR="38412B64" w:rsidP="1078B372" w:rsidRDefault="38412B64" w14:paraId="19F08F9A" w14:textId="7D24EB06">
            <w:pPr>
              <w:pStyle w:val="Normal"/>
            </w:pPr>
            <w:r w:rsidR="38412B64">
              <w:rPr/>
              <w:t>security controls that are inaccurately configured or left insecure, putting your systems and data at risk</w:t>
            </w:r>
          </w:p>
        </w:tc>
        <w:tc>
          <w:tcPr>
            <w:tcW w:w="2307" w:type="dxa"/>
            <w:tcMar/>
          </w:tcPr>
          <w:p w:rsidR="1078B372" w:rsidP="1078B372" w:rsidRDefault="1078B372" w14:paraId="276A2DA2" w14:textId="0345702F">
            <w:pPr>
              <w:pStyle w:val="Normal"/>
            </w:pPr>
            <w:r w:rsidR="567B2B65">
              <w:rPr/>
              <w:t>N/A</w:t>
            </w:r>
          </w:p>
        </w:tc>
      </w:tr>
      <w:tr w:rsidR="1078B372" w:rsidTr="6C19F580" w14:paraId="3AF3FC3A">
        <w:trPr>
          <w:trHeight w:val="300"/>
        </w:trPr>
        <w:tc>
          <w:tcPr>
            <w:tcW w:w="1998" w:type="dxa"/>
            <w:tcMar/>
          </w:tcPr>
          <w:p w:rsidR="78B46AB2" w:rsidP="1078B372" w:rsidRDefault="78B46AB2" w14:paraId="3A32D6E6" w14:textId="38391956">
            <w:pPr>
              <w:pStyle w:val="Normal"/>
            </w:pPr>
            <w:r w:rsidR="78B46AB2">
              <w:rPr/>
              <w:t>A06</w:t>
            </w:r>
            <w:r w:rsidR="3BB4569F">
              <w:rPr/>
              <w:t>:</w:t>
            </w:r>
            <w:r w:rsidR="560C9BB3">
              <w:rPr/>
              <w:t xml:space="preserve"> </w:t>
            </w:r>
            <w:r w:rsidR="4A79B8B4">
              <w:rPr/>
              <w:t>Vulnerable and Outdated Components</w:t>
            </w:r>
          </w:p>
        </w:tc>
        <w:tc>
          <w:tcPr>
            <w:tcW w:w="1260" w:type="dxa"/>
            <w:tcMar/>
          </w:tcPr>
          <w:p w:rsidR="00858211" w:rsidP="1078B372" w:rsidRDefault="00858211" w14:paraId="3FA4F046" w14:textId="03D82C25">
            <w:pPr>
              <w:pStyle w:val="Normal"/>
            </w:pPr>
            <w:r w:rsidR="00858211">
              <w:rPr/>
              <w:t>Moderate</w:t>
            </w:r>
          </w:p>
        </w:tc>
        <w:tc>
          <w:tcPr>
            <w:tcW w:w="1422" w:type="dxa"/>
            <w:tcMar/>
          </w:tcPr>
          <w:p w:rsidR="01BABD4A" w:rsidP="1078B372" w:rsidRDefault="01BABD4A" w14:paraId="5AA40EBE" w14:textId="77D792C4">
            <w:pPr>
              <w:pStyle w:val="Normal"/>
            </w:pPr>
            <w:r w:rsidR="01BABD4A">
              <w:rPr/>
              <w:t>Low</w:t>
            </w:r>
          </w:p>
        </w:tc>
        <w:tc>
          <w:tcPr>
            <w:tcW w:w="2485" w:type="dxa"/>
            <w:tcMar/>
          </w:tcPr>
          <w:p w:rsidR="17939DFD" w:rsidP="1078B372" w:rsidRDefault="17939DFD" w14:paraId="2EFBF998" w14:textId="09CB95F3">
            <w:pPr>
              <w:pStyle w:val="Normal"/>
            </w:pPr>
            <w:r w:rsidR="17939DFD">
              <w:rPr/>
              <w:t>component</w:t>
            </w:r>
            <w:r w:rsidR="17939DFD">
              <w:rPr/>
              <w:t xml:space="preserve"> that is no longer being supported, making it susceptible to security vulnerabilities</w:t>
            </w:r>
          </w:p>
        </w:tc>
        <w:tc>
          <w:tcPr>
            <w:tcW w:w="2307" w:type="dxa"/>
            <w:tcMar/>
          </w:tcPr>
          <w:p w:rsidR="1078B372" w:rsidP="6C19F580" w:rsidRDefault="1078B372" w14:paraId="72B97B3E" w14:textId="5FAEA205">
            <w:pPr>
              <w:pStyle w:val="Normal"/>
              <w:bidi w:val="0"/>
              <w:spacing w:before="0" w:beforeAutospacing="off" w:after="0" w:afterAutospacing="off" w:line="259" w:lineRule="auto"/>
              <w:ind w:left="0" w:right="0"/>
              <w:jc w:val="left"/>
            </w:pPr>
            <w:r w:rsidR="0A630567">
              <w:rPr/>
              <w:t>I am using the latest versions of java and other tools.</w:t>
            </w:r>
          </w:p>
        </w:tc>
      </w:tr>
      <w:tr w:rsidR="1078B372" w:rsidTr="6C19F580" w14:paraId="79618700">
        <w:trPr>
          <w:trHeight w:val="300"/>
        </w:trPr>
        <w:tc>
          <w:tcPr>
            <w:tcW w:w="1998" w:type="dxa"/>
            <w:tcMar/>
          </w:tcPr>
          <w:p w:rsidR="78B46AB2" w:rsidP="1078B372" w:rsidRDefault="78B46AB2" w14:paraId="5AC277D6" w14:textId="1A422999">
            <w:pPr>
              <w:pStyle w:val="Normal"/>
            </w:pPr>
            <w:r w:rsidR="78B46AB2">
              <w:rPr/>
              <w:t>A07</w:t>
            </w:r>
            <w:r w:rsidR="3BB4569F">
              <w:rPr/>
              <w:t>:</w:t>
            </w:r>
            <w:r w:rsidR="14DFECB3">
              <w:rPr/>
              <w:t xml:space="preserve"> </w:t>
            </w:r>
            <w:r w:rsidR="21330F78">
              <w:rPr/>
              <w:t>Identification/Authentication Failures</w:t>
            </w:r>
          </w:p>
        </w:tc>
        <w:tc>
          <w:tcPr>
            <w:tcW w:w="1260" w:type="dxa"/>
            <w:tcMar/>
          </w:tcPr>
          <w:p w:rsidR="7BA71CBC" w:rsidP="1078B372" w:rsidRDefault="7BA71CBC" w14:paraId="6B1B0686" w14:textId="074E7F35">
            <w:pPr>
              <w:pStyle w:val="Normal"/>
            </w:pPr>
            <w:r w:rsidR="7BA71CBC">
              <w:rPr/>
              <w:t>High</w:t>
            </w:r>
          </w:p>
        </w:tc>
        <w:tc>
          <w:tcPr>
            <w:tcW w:w="1422" w:type="dxa"/>
            <w:tcMar/>
          </w:tcPr>
          <w:p w:rsidR="0E93C8BC" w:rsidP="1078B372" w:rsidRDefault="0E93C8BC" w14:paraId="43B9C4E5" w14:textId="103CC5E2">
            <w:pPr>
              <w:pStyle w:val="Normal"/>
            </w:pPr>
            <w:r w:rsidR="0E93C8BC">
              <w:rPr/>
              <w:t>Moderate</w:t>
            </w:r>
          </w:p>
        </w:tc>
        <w:tc>
          <w:tcPr>
            <w:tcW w:w="2485" w:type="dxa"/>
            <w:tcMar/>
          </w:tcPr>
          <w:p w:rsidR="7509141E" w:rsidP="1078B372" w:rsidRDefault="7509141E" w14:paraId="046A755A" w14:textId="40D47E84">
            <w:pPr>
              <w:pStyle w:val="Normal"/>
            </w:pPr>
            <w:r w:rsidR="7509141E">
              <w:rPr/>
              <w:t>can allow malicious actors to compromise keys, passwords, and session tokens</w:t>
            </w:r>
          </w:p>
        </w:tc>
        <w:tc>
          <w:tcPr>
            <w:tcW w:w="2307" w:type="dxa"/>
            <w:tcMar/>
          </w:tcPr>
          <w:p w:rsidR="1078B372" w:rsidP="1078B372" w:rsidRDefault="1078B372" w14:paraId="5D37859B" w14:textId="14A5BD53">
            <w:pPr>
              <w:pStyle w:val="Normal"/>
            </w:pPr>
            <w:r w:rsidR="058FE93F">
              <w:rPr/>
              <w:t>Risk allowed</w:t>
            </w:r>
          </w:p>
        </w:tc>
      </w:tr>
      <w:tr w:rsidR="1078B372" w:rsidTr="6C19F580" w14:paraId="7FA7C242">
        <w:trPr>
          <w:trHeight w:val="300"/>
        </w:trPr>
        <w:tc>
          <w:tcPr>
            <w:tcW w:w="1998" w:type="dxa"/>
            <w:tcMar/>
          </w:tcPr>
          <w:p w:rsidR="78B46AB2" w:rsidP="1078B372" w:rsidRDefault="78B46AB2" w14:paraId="7170E0A0" w14:textId="0598A8CE">
            <w:pPr>
              <w:pStyle w:val="Normal"/>
            </w:pPr>
            <w:r w:rsidR="78B46AB2">
              <w:rPr/>
              <w:t>A08</w:t>
            </w:r>
            <w:r w:rsidR="5EA3680F">
              <w:rPr/>
              <w:t>:</w:t>
            </w:r>
            <w:r w:rsidR="62D441F0">
              <w:rPr/>
              <w:t xml:space="preserve"> </w:t>
            </w:r>
            <w:r w:rsidR="6292315C">
              <w:rPr/>
              <w:t>Software and Data Integrity Failures</w:t>
            </w:r>
          </w:p>
        </w:tc>
        <w:tc>
          <w:tcPr>
            <w:tcW w:w="1260" w:type="dxa"/>
            <w:tcMar/>
          </w:tcPr>
          <w:p w:rsidR="361E9F63" w:rsidP="1078B372" w:rsidRDefault="361E9F63" w14:paraId="3AFAC938" w14:textId="22C482F5">
            <w:pPr>
              <w:pStyle w:val="Normal"/>
            </w:pPr>
            <w:r w:rsidR="361E9F63">
              <w:rPr/>
              <w:t>Moderate</w:t>
            </w:r>
          </w:p>
        </w:tc>
        <w:tc>
          <w:tcPr>
            <w:tcW w:w="1422" w:type="dxa"/>
            <w:tcMar/>
          </w:tcPr>
          <w:p w:rsidR="6DE63B54" w:rsidP="1078B372" w:rsidRDefault="6DE63B54" w14:paraId="770974FF" w14:textId="2BC9B83D">
            <w:pPr>
              <w:pStyle w:val="Normal"/>
            </w:pPr>
            <w:r w:rsidR="6DE63B54">
              <w:rPr/>
              <w:t>Moderate</w:t>
            </w:r>
          </w:p>
        </w:tc>
        <w:tc>
          <w:tcPr>
            <w:tcW w:w="2485" w:type="dxa"/>
            <w:tcMar/>
          </w:tcPr>
          <w:p w:rsidR="1078B372" w:rsidP="1078B372" w:rsidRDefault="1078B372" w14:paraId="2C2D1AD1" w14:textId="193EE4A6">
            <w:pPr>
              <w:pStyle w:val="Normal"/>
            </w:pPr>
            <w:r w:rsidR="75379FEE">
              <w:rPr/>
              <w:t>infrastructure that does not protect against integrity violations</w:t>
            </w:r>
          </w:p>
        </w:tc>
        <w:tc>
          <w:tcPr>
            <w:tcW w:w="2307" w:type="dxa"/>
            <w:tcMar/>
          </w:tcPr>
          <w:p w:rsidR="1078B372" w:rsidP="1078B372" w:rsidRDefault="1078B372" w14:paraId="54DA20D2" w14:textId="353D37AD">
            <w:pPr>
              <w:pStyle w:val="Normal"/>
            </w:pPr>
            <w:r w:rsidR="23A23F16">
              <w:rPr/>
              <w:t xml:space="preserve">libraries and dependencies, such as </w:t>
            </w:r>
            <w:r w:rsidR="23A23F16">
              <w:rPr/>
              <w:t>npm</w:t>
            </w:r>
            <w:r w:rsidR="23A23F16">
              <w:rPr/>
              <w:t>, are consuming trusted repositories</w:t>
            </w:r>
          </w:p>
        </w:tc>
      </w:tr>
      <w:tr w:rsidR="1078B372" w:rsidTr="6C19F580" w14:paraId="6B97B1FC">
        <w:trPr>
          <w:trHeight w:val="300"/>
        </w:trPr>
        <w:tc>
          <w:tcPr>
            <w:tcW w:w="1998" w:type="dxa"/>
            <w:tcMar/>
          </w:tcPr>
          <w:p w:rsidR="359ADB83" w:rsidP="1078B372" w:rsidRDefault="359ADB83" w14:paraId="41BC98C4" w14:textId="1A93592F">
            <w:pPr>
              <w:pStyle w:val="Normal"/>
            </w:pPr>
            <w:r w:rsidR="359ADB83">
              <w:rPr/>
              <w:t>A09</w:t>
            </w:r>
            <w:r w:rsidR="5EA3680F">
              <w:rPr/>
              <w:t>:</w:t>
            </w:r>
            <w:r w:rsidR="2C87822C">
              <w:rPr/>
              <w:t xml:space="preserve"> </w:t>
            </w:r>
            <w:r w:rsidR="25151254">
              <w:rPr/>
              <w:t>Security Logging and Monitoring Failures</w:t>
            </w:r>
          </w:p>
        </w:tc>
        <w:tc>
          <w:tcPr>
            <w:tcW w:w="1260" w:type="dxa"/>
            <w:tcMar/>
          </w:tcPr>
          <w:p w:rsidR="5FABF0FF" w:rsidP="1078B372" w:rsidRDefault="5FABF0FF" w14:paraId="5C34037C" w14:textId="3519B2BD">
            <w:pPr>
              <w:pStyle w:val="Normal"/>
            </w:pPr>
            <w:r w:rsidR="5FABF0FF">
              <w:rPr/>
              <w:t>Unlikely</w:t>
            </w:r>
          </w:p>
        </w:tc>
        <w:tc>
          <w:tcPr>
            <w:tcW w:w="1422" w:type="dxa"/>
            <w:tcMar/>
          </w:tcPr>
          <w:p w:rsidR="65CAA339" w:rsidP="1078B372" w:rsidRDefault="65CAA339" w14:paraId="0FEDA589" w14:textId="1DABEC07">
            <w:pPr>
              <w:pStyle w:val="Normal"/>
            </w:pPr>
            <w:r w:rsidR="65CAA339">
              <w:rPr/>
              <w:t>Low</w:t>
            </w:r>
          </w:p>
        </w:tc>
        <w:tc>
          <w:tcPr>
            <w:tcW w:w="2485" w:type="dxa"/>
            <w:tcMar/>
          </w:tcPr>
          <w:p w:rsidR="1078B372" w:rsidP="1078B372" w:rsidRDefault="1078B372" w14:paraId="3D5C0F3C" w14:textId="121DFF26">
            <w:pPr>
              <w:pStyle w:val="Normal"/>
            </w:pPr>
            <w:r w:rsidR="36E32DF6">
              <w:rPr/>
              <w:t>The absence of telemetry that could help network defenders detect and respond to hostile attempts to compromise a system</w:t>
            </w:r>
          </w:p>
        </w:tc>
        <w:tc>
          <w:tcPr>
            <w:tcW w:w="2307" w:type="dxa"/>
            <w:tcMar/>
          </w:tcPr>
          <w:p w:rsidR="1078B372" w:rsidP="1078B372" w:rsidRDefault="1078B372" w14:paraId="19B5355D" w14:textId="645A3D1B">
            <w:pPr>
              <w:pStyle w:val="Normal"/>
            </w:pPr>
            <w:r w:rsidR="49963D9B">
              <w:rPr/>
              <w:t>Risk allowed</w:t>
            </w:r>
          </w:p>
        </w:tc>
      </w:tr>
      <w:tr w:rsidR="1078B372" w:rsidTr="6C19F580" w14:paraId="2B6047F6">
        <w:trPr>
          <w:trHeight w:val="300"/>
        </w:trPr>
        <w:tc>
          <w:tcPr>
            <w:tcW w:w="1998" w:type="dxa"/>
            <w:tcMar/>
          </w:tcPr>
          <w:p w:rsidR="359ADB83" w:rsidP="1078B372" w:rsidRDefault="359ADB83" w14:paraId="12C30D5B" w14:textId="60B6573E">
            <w:pPr>
              <w:pStyle w:val="Normal"/>
            </w:pPr>
            <w:r w:rsidR="359ADB83">
              <w:rPr/>
              <w:t>A10</w:t>
            </w:r>
            <w:r w:rsidR="2782ECB3">
              <w:rPr/>
              <w:t>:</w:t>
            </w:r>
            <w:r w:rsidR="6F7B4652">
              <w:rPr/>
              <w:t xml:space="preserve"> </w:t>
            </w:r>
            <w:r w:rsidR="67049062">
              <w:rPr/>
              <w:t>Server-Side Request Forgery</w:t>
            </w:r>
          </w:p>
        </w:tc>
        <w:tc>
          <w:tcPr>
            <w:tcW w:w="1260" w:type="dxa"/>
            <w:tcMar/>
          </w:tcPr>
          <w:p w:rsidR="5B3087C3" w:rsidP="1078B372" w:rsidRDefault="5B3087C3" w14:paraId="5C572564" w14:textId="3DBCE02E">
            <w:pPr>
              <w:pStyle w:val="Normal"/>
            </w:pPr>
            <w:r w:rsidR="5B3087C3">
              <w:rPr/>
              <w:t>Moderate</w:t>
            </w:r>
          </w:p>
        </w:tc>
        <w:tc>
          <w:tcPr>
            <w:tcW w:w="1422" w:type="dxa"/>
            <w:tcMar/>
          </w:tcPr>
          <w:p w:rsidR="49436030" w:rsidP="1078B372" w:rsidRDefault="49436030" w14:paraId="06FB8F0F" w14:textId="25700A80">
            <w:pPr>
              <w:pStyle w:val="Normal"/>
            </w:pPr>
            <w:r w:rsidR="49436030">
              <w:rPr/>
              <w:t>Moderate</w:t>
            </w:r>
          </w:p>
        </w:tc>
        <w:tc>
          <w:tcPr>
            <w:tcW w:w="2485" w:type="dxa"/>
            <w:tcMar/>
          </w:tcPr>
          <w:p w:rsidR="1078B372" w:rsidP="1078B372" w:rsidRDefault="1078B372" w14:paraId="3D8E1ECD" w14:textId="2E3FF5FE">
            <w:pPr>
              <w:pStyle w:val="Normal"/>
            </w:pPr>
            <w:r w:rsidR="3EB54592">
              <w:rPr/>
              <w:t>accessing resources that it was not intended to access</w:t>
            </w:r>
          </w:p>
        </w:tc>
        <w:tc>
          <w:tcPr>
            <w:tcW w:w="2307" w:type="dxa"/>
            <w:tcMar/>
          </w:tcPr>
          <w:p w:rsidR="1078B372" w:rsidP="1078B372" w:rsidRDefault="1078B372" w14:paraId="084F45A1" w14:textId="5DFFECAC">
            <w:pPr>
              <w:pStyle w:val="Normal"/>
            </w:pPr>
            <w:r w:rsidR="3E311370">
              <w:rPr/>
              <w:t>Restrict request protocols</w:t>
            </w:r>
          </w:p>
        </w:tc>
      </w:tr>
    </w:tbl>
    <w:p xmlns:wp14="http://schemas.microsoft.com/office/word/2010/wordml" w:rsidP="1078B372" w14:paraId="5AF0327C" wp14:textId="5D96F8EE">
      <w:pPr>
        <w:pStyle w:val="Normal"/>
      </w:pPr>
    </w:p>
    <w:p xmlns:wp14="http://schemas.microsoft.com/office/word/2010/wordml" w:rsidP="1078B372" w14:paraId="7317A225" wp14:textId="680BE850">
      <w:pPr>
        <w:pStyle w:val="Normal"/>
      </w:pPr>
      <w:r w:rsidR="2202E353">
        <w:rPr/>
        <w:t>6</w:t>
      </w:r>
      <w:r w:rsidR="715521D2">
        <w:rPr/>
        <w:t>. Conclusion</w:t>
      </w:r>
    </w:p>
    <w:p xmlns:wp14="http://schemas.microsoft.com/office/word/2010/wordml" w:rsidP="1078B372" w14:paraId="2C078E63" wp14:textId="256805F3">
      <w:pPr>
        <w:pStyle w:val="Normal"/>
      </w:pPr>
      <w:r w:rsidR="2AAD97CA">
        <w:rPr/>
        <w:t xml:space="preserve">In conclusion, the application </w:t>
      </w:r>
      <w:r w:rsidR="2AAD97CA">
        <w:rPr/>
        <w:t>RealtyHub</w:t>
      </w:r>
      <w:r w:rsidR="2AAD97CA">
        <w:rPr/>
        <w:t xml:space="preserve"> has the required security needs for A01, A02</w:t>
      </w:r>
      <w:r w:rsidR="76F3945F">
        <w:rPr/>
        <w:t>,</w:t>
      </w:r>
      <w:r w:rsidR="05199EF9">
        <w:rPr/>
        <w:t xml:space="preserve"> </w:t>
      </w:r>
      <w:r w:rsidR="76F3945F">
        <w:rPr/>
        <w:t>A03</w:t>
      </w:r>
      <w:r w:rsidR="2AAD97CA">
        <w:rPr/>
        <w:t xml:space="preserve"> and A</w:t>
      </w:r>
      <w:r w:rsidR="14B5EB8F">
        <w:rPr/>
        <w:t>10</w:t>
      </w:r>
      <w:r w:rsidR="2AAD97CA">
        <w:rPr/>
        <w:t xml:space="preserve"> which are the most </w:t>
      </w:r>
      <w:r w:rsidR="5F62D2F9">
        <w:rPr/>
        <w:t xml:space="preserve">preeminent cases in most of the applications but lacks in </w:t>
      </w:r>
      <w:r w:rsidR="1B0DF762">
        <w:rPr/>
        <w:t>other departments.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vpBuYz8T/CMtE" int2:id="ZwyeNB8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69e8f1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c9516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FC9EA4"/>
    <w:rsid w:val="007CD78B"/>
    <w:rsid w:val="0082088C"/>
    <w:rsid w:val="00858211"/>
    <w:rsid w:val="019A6623"/>
    <w:rsid w:val="01BABD4A"/>
    <w:rsid w:val="024A2ABE"/>
    <w:rsid w:val="029CE6F4"/>
    <w:rsid w:val="02CC36A9"/>
    <w:rsid w:val="03134E0F"/>
    <w:rsid w:val="03FC9EA4"/>
    <w:rsid w:val="04866B79"/>
    <w:rsid w:val="05199EF9"/>
    <w:rsid w:val="0581CB80"/>
    <w:rsid w:val="058FE93F"/>
    <w:rsid w:val="05D391F8"/>
    <w:rsid w:val="06F64FF6"/>
    <w:rsid w:val="07A981FD"/>
    <w:rsid w:val="08ADB679"/>
    <w:rsid w:val="09828F93"/>
    <w:rsid w:val="09A24E12"/>
    <w:rsid w:val="0A630567"/>
    <w:rsid w:val="0AF285CF"/>
    <w:rsid w:val="0C3DE517"/>
    <w:rsid w:val="0C8E5630"/>
    <w:rsid w:val="0D8EF67C"/>
    <w:rsid w:val="0E93C8BC"/>
    <w:rsid w:val="0F189747"/>
    <w:rsid w:val="0F1CF7FD"/>
    <w:rsid w:val="0F28ADC6"/>
    <w:rsid w:val="0F2B7CE5"/>
    <w:rsid w:val="0F48B611"/>
    <w:rsid w:val="10452C19"/>
    <w:rsid w:val="1078B372"/>
    <w:rsid w:val="10B8C85E"/>
    <w:rsid w:val="11DDD35E"/>
    <w:rsid w:val="11F9D08B"/>
    <w:rsid w:val="12A29F96"/>
    <w:rsid w:val="12F6AEF9"/>
    <w:rsid w:val="1491CB3C"/>
    <w:rsid w:val="14B5EB8F"/>
    <w:rsid w:val="14DE92E7"/>
    <w:rsid w:val="14DFECB3"/>
    <w:rsid w:val="1516112B"/>
    <w:rsid w:val="1675A31C"/>
    <w:rsid w:val="17939DFD"/>
    <w:rsid w:val="17C96BFE"/>
    <w:rsid w:val="1890662C"/>
    <w:rsid w:val="195439EF"/>
    <w:rsid w:val="1ABED5B4"/>
    <w:rsid w:val="1B0DF762"/>
    <w:rsid w:val="1B7B535E"/>
    <w:rsid w:val="1BFEADE2"/>
    <w:rsid w:val="1E19C690"/>
    <w:rsid w:val="1E7910E2"/>
    <w:rsid w:val="1FFDC71C"/>
    <w:rsid w:val="21330F78"/>
    <w:rsid w:val="2199977D"/>
    <w:rsid w:val="2202E353"/>
    <w:rsid w:val="224144C7"/>
    <w:rsid w:val="23A23F16"/>
    <w:rsid w:val="248F4BD8"/>
    <w:rsid w:val="24D2C3EA"/>
    <w:rsid w:val="25151254"/>
    <w:rsid w:val="2782ECB3"/>
    <w:rsid w:val="2AAD97CA"/>
    <w:rsid w:val="2B7D34B0"/>
    <w:rsid w:val="2C12BC39"/>
    <w:rsid w:val="2C87822C"/>
    <w:rsid w:val="2C964319"/>
    <w:rsid w:val="31006DF6"/>
    <w:rsid w:val="3108FD1D"/>
    <w:rsid w:val="34380EB8"/>
    <w:rsid w:val="354C7E0A"/>
    <w:rsid w:val="3597A239"/>
    <w:rsid w:val="359ADB83"/>
    <w:rsid w:val="361E9F63"/>
    <w:rsid w:val="36E32DF6"/>
    <w:rsid w:val="3721777B"/>
    <w:rsid w:val="37FCC19F"/>
    <w:rsid w:val="38412B64"/>
    <w:rsid w:val="384724B3"/>
    <w:rsid w:val="38F1640B"/>
    <w:rsid w:val="39B28597"/>
    <w:rsid w:val="3B495BDD"/>
    <w:rsid w:val="3B4E55F8"/>
    <w:rsid w:val="3B6406C8"/>
    <w:rsid w:val="3BB4569F"/>
    <w:rsid w:val="3E311370"/>
    <w:rsid w:val="3EB54592"/>
    <w:rsid w:val="3F349EC3"/>
    <w:rsid w:val="3F37DC52"/>
    <w:rsid w:val="4021C71B"/>
    <w:rsid w:val="42D33DA6"/>
    <w:rsid w:val="44C21C4A"/>
    <w:rsid w:val="46056B78"/>
    <w:rsid w:val="464A470D"/>
    <w:rsid w:val="465DECAB"/>
    <w:rsid w:val="47D34B6F"/>
    <w:rsid w:val="48572125"/>
    <w:rsid w:val="48A2301C"/>
    <w:rsid w:val="49436030"/>
    <w:rsid w:val="49963D9B"/>
    <w:rsid w:val="4A79B8B4"/>
    <w:rsid w:val="4A7CED97"/>
    <w:rsid w:val="4A9144D4"/>
    <w:rsid w:val="4C8456E7"/>
    <w:rsid w:val="4CB0DD71"/>
    <w:rsid w:val="4DA2E9A9"/>
    <w:rsid w:val="4E7FFDCA"/>
    <w:rsid w:val="50B1484E"/>
    <w:rsid w:val="51EE5A94"/>
    <w:rsid w:val="560C9BB3"/>
    <w:rsid w:val="567B2B65"/>
    <w:rsid w:val="56A85B1B"/>
    <w:rsid w:val="57AE0E77"/>
    <w:rsid w:val="5AE9788D"/>
    <w:rsid w:val="5B3087C3"/>
    <w:rsid w:val="5BF6E944"/>
    <w:rsid w:val="5C4A82AD"/>
    <w:rsid w:val="5DF80482"/>
    <w:rsid w:val="5DFF6FC0"/>
    <w:rsid w:val="5EA3680F"/>
    <w:rsid w:val="5F4F2E3E"/>
    <w:rsid w:val="5F62D2F9"/>
    <w:rsid w:val="5F9B4021"/>
    <w:rsid w:val="5FABF0FF"/>
    <w:rsid w:val="6199A254"/>
    <w:rsid w:val="6292315C"/>
    <w:rsid w:val="62D441F0"/>
    <w:rsid w:val="636124DF"/>
    <w:rsid w:val="64FCF540"/>
    <w:rsid w:val="6589AE4D"/>
    <w:rsid w:val="65CAA339"/>
    <w:rsid w:val="66FED65D"/>
    <w:rsid w:val="67049062"/>
    <w:rsid w:val="68349602"/>
    <w:rsid w:val="687F13FE"/>
    <w:rsid w:val="6880D8D6"/>
    <w:rsid w:val="6A059FE7"/>
    <w:rsid w:val="6C19F580"/>
    <w:rsid w:val="6D61BA28"/>
    <w:rsid w:val="6DA54668"/>
    <w:rsid w:val="6DE63B54"/>
    <w:rsid w:val="6EEA5679"/>
    <w:rsid w:val="6F7B4652"/>
    <w:rsid w:val="707C1C7C"/>
    <w:rsid w:val="714DB694"/>
    <w:rsid w:val="715521D2"/>
    <w:rsid w:val="72F53CBE"/>
    <w:rsid w:val="73116CBC"/>
    <w:rsid w:val="74855756"/>
    <w:rsid w:val="7509141E"/>
    <w:rsid w:val="75379FEE"/>
    <w:rsid w:val="75E70FC4"/>
    <w:rsid w:val="76CAFA92"/>
    <w:rsid w:val="76F3945F"/>
    <w:rsid w:val="7779BA31"/>
    <w:rsid w:val="78205EA6"/>
    <w:rsid w:val="78B46AB2"/>
    <w:rsid w:val="79255462"/>
    <w:rsid w:val="7AC124C3"/>
    <w:rsid w:val="7BA71CBC"/>
    <w:rsid w:val="7D7CCC1C"/>
    <w:rsid w:val="7D8FAF26"/>
    <w:rsid w:val="7F2BB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9EA4"/>
  <w15:chartTrackingRefBased/>
  <w15:docId w15:val="{EBF8FF73-D172-4D0F-98B3-A416DB5664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d8780ec35e849e7" /><Relationship Type="http://schemas.openxmlformats.org/officeDocument/2006/relationships/numbering" Target="numbering.xml" Id="R3adf6458e0e942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2023-06-01T14:59:05.4129571Z</dcterms:created>
  <dcterms:modified xsi:type="dcterms:W3CDTF">2023-06-02T16:04:34.7756639Z</dcterms:modified>
  <dc:creator>Popescu,Radu-Andrei R.A.</dc:creator>
  <lastModifiedBy>Popescu,Radu-Andrei R.A.</lastModifiedBy>
</coreProperties>
</file>