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85" w:rsidRPr="008D046D" w:rsidRDefault="00E02A85" w:rsidP="00300F68">
      <w:pPr>
        <w:spacing w:line="360" w:lineRule="auto"/>
        <w:jc w:val="center"/>
        <w:rPr>
          <w:sz w:val="28"/>
          <w:szCs w:val="28"/>
        </w:rPr>
      </w:pPr>
      <w:r w:rsidRPr="008D046D">
        <w:rPr>
          <w:sz w:val="28"/>
          <w:szCs w:val="28"/>
        </w:rPr>
        <w:t>МІНІСТЕРСТВО ОСВІТИ І НАУКИ УКРАЇНИ</w:t>
      </w:r>
    </w:p>
    <w:p w:rsidR="00E02A85" w:rsidRPr="008D046D" w:rsidRDefault="00E02A85" w:rsidP="00300F68">
      <w:pPr>
        <w:spacing w:line="360" w:lineRule="auto"/>
        <w:jc w:val="center"/>
        <w:rPr>
          <w:sz w:val="28"/>
          <w:szCs w:val="28"/>
        </w:rPr>
      </w:pPr>
      <w:r w:rsidRPr="008D046D">
        <w:rPr>
          <w:sz w:val="28"/>
          <w:szCs w:val="28"/>
        </w:rPr>
        <w:t>НАЦІОНАЛЬНИЙ УНІВЕРСИТЕТ “ЛЬВІВСЬКА ПОЛІТЕХНІКА”</w:t>
      </w:r>
    </w:p>
    <w:p w:rsidR="00E02A85" w:rsidRPr="008D046D" w:rsidRDefault="00E02A85" w:rsidP="00300F68">
      <w:pPr>
        <w:spacing w:line="360" w:lineRule="auto"/>
        <w:jc w:val="center"/>
        <w:rPr>
          <w:sz w:val="28"/>
          <w:szCs w:val="28"/>
        </w:rPr>
      </w:pPr>
      <w:r w:rsidRPr="008D046D">
        <w:rPr>
          <w:sz w:val="28"/>
          <w:szCs w:val="28"/>
        </w:rPr>
        <w:t>КАФЕДРА ІНФОРМАЦІЙНИХ СИСТЕМ ТА МЕРЕЖ</w:t>
      </w:r>
    </w:p>
    <w:p w:rsidR="00E02A85" w:rsidRPr="008D046D" w:rsidRDefault="00E02A85" w:rsidP="00300F68">
      <w:pPr>
        <w:spacing w:line="360" w:lineRule="auto"/>
        <w:jc w:val="center"/>
        <w:rPr>
          <w:sz w:val="28"/>
          <w:szCs w:val="28"/>
        </w:rPr>
      </w:pPr>
    </w:p>
    <w:p w:rsidR="00E02A85" w:rsidRPr="008D046D" w:rsidRDefault="00E02A85" w:rsidP="00300F68">
      <w:pPr>
        <w:spacing w:line="360" w:lineRule="auto"/>
        <w:jc w:val="center"/>
        <w:rPr>
          <w:sz w:val="28"/>
          <w:szCs w:val="28"/>
        </w:rPr>
      </w:pPr>
      <w:r w:rsidRPr="008D046D">
        <w:rPr>
          <w:noProof/>
          <w:sz w:val="28"/>
          <w:szCs w:val="28"/>
          <w:lang w:eastAsia="uk-UA"/>
        </w:rPr>
        <w:drawing>
          <wp:inline distT="0" distB="0" distL="0" distR="0">
            <wp:extent cx="2114550" cy="2592405"/>
            <wp:effectExtent l="19050" t="0" r="0" b="0"/>
            <wp:docPr id="2" name="Рисунок 0" descr="34784_html_m1c40ca0f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34784_html_m1c40ca0f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98" cy="259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85" w:rsidRPr="008D046D" w:rsidRDefault="00E02A85" w:rsidP="00300F68">
      <w:pPr>
        <w:spacing w:line="360" w:lineRule="auto"/>
        <w:jc w:val="center"/>
        <w:rPr>
          <w:sz w:val="28"/>
          <w:szCs w:val="28"/>
        </w:rPr>
      </w:pPr>
    </w:p>
    <w:p w:rsidR="00E02A85" w:rsidRPr="008D046D" w:rsidRDefault="00E02A85" w:rsidP="00300F68">
      <w:pPr>
        <w:spacing w:line="360" w:lineRule="auto"/>
        <w:jc w:val="center"/>
        <w:rPr>
          <w:b/>
          <w:sz w:val="44"/>
          <w:szCs w:val="28"/>
        </w:rPr>
      </w:pPr>
      <w:r w:rsidRPr="008D046D">
        <w:rPr>
          <w:b/>
          <w:sz w:val="44"/>
          <w:szCs w:val="28"/>
        </w:rPr>
        <w:t>ЗВІТ</w:t>
      </w:r>
    </w:p>
    <w:p w:rsidR="00E02A85" w:rsidRPr="006B2407" w:rsidRDefault="00E02A85" w:rsidP="00300F68">
      <w:pPr>
        <w:spacing w:line="360" w:lineRule="auto"/>
        <w:jc w:val="center"/>
        <w:rPr>
          <w:sz w:val="28"/>
          <w:szCs w:val="28"/>
          <w:lang w:val="ru-RU"/>
        </w:rPr>
      </w:pPr>
      <w:r w:rsidRPr="008D046D">
        <w:rPr>
          <w:sz w:val="28"/>
          <w:szCs w:val="28"/>
        </w:rPr>
        <w:t>про виконання лабораторної роботи №</w:t>
      </w:r>
      <w:r w:rsidR="00535029">
        <w:rPr>
          <w:sz w:val="28"/>
          <w:szCs w:val="28"/>
          <w:lang w:val="ru-RU"/>
        </w:rPr>
        <w:t>4</w:t>
      </w:r>
    </w:p>
    <w:p w:rsidR="00300F68" w:rsidRPr="008D046D" w:rsidRDefault="00300F68" w:rsidP="00300F68">
      <w:pPr>
        <w:spacing w:line="360" w:lineRule="auto"/>
        <w:jc w:val="center"/>
        <w:rPr>
          <w:b/>
          <w:i/>
          <w:sz w:val="28"/>
          <w:szCs w:val="28"/>
        </w:rPr>
      </w:pPr>
      <w:r w:rsidRPr="008D046D">
        <w:rPr>
          <w:b/>
          <w:i/>
          <w:sz w:val="28"/>
          <w:szCs w:val="28"/>
        </w:rPr>
        <w:t xml:space="preserve">З дисципліни «Управління </w:t>
      </w:r>
      <w:proofErr w:type="spellStart"/>
      <w:r w:rsidRPr="008D046D">
        <w:rPr>
          <w:b/>
          <w:i/>
          <w:sz w:val="28"/>
          <w:szCs w:val="28"/>
        </w:rPr>
        <w:t>ІТ-проектами</w:t>
      </w:r>
      <w:proofErr w:type="spellEnd"/>
      <w:r w:rsidRPr="008D046D">
        <w:rPr>
          <w:b/>
          <w:i/>
          <w:sz w:val="28"/>
          <w:szCs w:val="28"/>
        </w:rPr>
        <w:t>»</w:t>
      </w:r>
    </w:p>
    <w:p w:rsidR="00E02A85" w:rsidRPr="008D046D" w:rsidRDefault="00E02A85" w:rsidP="00300F68">
      <w:pPr>
        <w:spacing w:line="360" w:lineRule="auto"/>
        <w:jc w:val="center"/>
        <w:rPr>
          <w:b/>
          <w:i/>
          <w:sz w:val="32"/>
          <w:szCs w:val="32"/>
        </w:rPr>
      </w:pPr>
      <w:r w:rsidRPr="008D046D">
        <w:rPr>
          <w:b/>
          <w:i/>
          <w:sz w:val="32"/>
          <w:szCs w:val="32"/>
        </w:rPr>
        <w:t>“</w:t>
      </w:r>
      <w:r w:rsidR="00C25122" w:rsidRPr="008D046D">
        <w:rPr>
          <w:b/>
          <w:i/>
          <w:sz w:val="32"/>
          <w:szCs w:val="32"/>
        </w:rPr>
        <w:t xml:space="preserve"> </w:t>
      </w:r>
      <w:r w:rsidR="00535029" w:rsidRPr="00535029">
        <w:rPr>
          <w:b/>
          <w:i/>
          <w:sz w:val="28"/>
          <w:szCs w:val="28"/>
        </w:rPr>
        <w:t xml:space="preserve">Визначення часових параметрів проекту та його робіт за умови стохастичних </w:t>
      </w:r>
      <w:proofErr w:type="spellStart"/>
      <w:r w:rsidR="00535029" w:rsidRPr="00535029">
        <w:rPr>
          <w:b/>
          <w:i/>
          <w:sz w:val="28"/>
          <w:szCs w:val="28"/>
        </w:rPr>
        <w:t>тривалостей</w:t>
      </w:r>
      <w:proofErr w:type="spellEnd"/>
      <w:r w:rsidR="00535029" w:rsidRPr="00535029">
        <w:rPr>
          <w:b/>
          <w:i/>
          <w:sz w:val="28"/>
          <w:szCs w:val="28"/>
        </w:rPr>
        <w:t xml:space="preserve"> робіт (метод PERT)</w:t>
      </w:r>
      <w:r w:rsidRPr="008D046D">
        <w:rPr>
          <w:b/>
          <w:i/>
          <w:sz w:val="32"/>
          <w:szCs w:val="32"/>
        </w:rPr>
        <w:t>”</w:t>
      </w:r>
    </w:p>
    <w:p w:rsidR="00E02A85" w:rsidRPr="008D046D" w:rsidRDefault="00E02A85" w:rsidP="00300F68">
      <w:pPr>
        <w:spacing w:line="360" w:lineRule="auto"/>
        <w:jc w:val="center"/>
        <w:rPr>
          <w:i/>
          <w:sz w:val="28"/>
          <w:szCs w:val="28"/>
        </w:rPr>
      </w:pPr>
    </w:p>
    <w:p w:rsidR="00E02A85" w:rsidRDefault="00E02A85" w:rsidP="00300F68">
      <w:pPr>
        <w:spacing w:line="360" w:lineRule="auto"/>
        <w:jc w:val="center"/>
        <w:rPr>
          <w:sz w:val="28"/>
          <w:szCs w:val="28"/>
          <w:lang w:val="ru-RU"/>
        </w:rPr>
      </w:pPr>
    </w:p>
    <w:p w:rsidR="00535029" w:rsidRPr="00535029" w:rsidRDefault="00535029" w:rsidP="00300F68">
      <w:pPr>
        <w:spacing w:line="360" w:lineRule="auto"/>
        <w:jc w:val="center"/>
        <w:rPr>
          <w:sz w:val="28"/>
          <w:szCs w:val="28"/>
          <w:lang w:val="ru-RU"/>
        </w:rPr>
      </w:pPr>
    </w:p>
    <w:p w:rsidR="00600D9B" w:rsidRDefault="00600D9B" w:rsidP="00600D9B">
      <w:pPr>
        <w:spacing w:line="360" w:lineRule="auto"/>
        <w:ind w:firstLine="4860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600D9B" w:rsidRPr="00AD2C79" w:rsidRDefault="00600D9B" w:rsidP="00600D9B">
      <w:pPr>
        <w:spacing w:line="360" w:lineRule="auto"/>
        <w:ind w:firstLine="48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групи КН-48</w:t>
      </w:r>
    </w:p>
    <w:p w:rsidR="00600D9B" w:rsidRPr="00686366" w:rsidRDefault="00600D9B" w:rsidP="00600D9B">
      <w:pPr>
        <w:spacing w:line="360" w:lineRule="auto"/>
        <w:ind w:firstLine="4860"/>
        <w:jc w:val="right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Скопівський</w:t>
      </w:r>
      <w:proofErr w:type="spellEnd"/>
      <w:r>
        <w:rPr>
          <w:i/>
          <w:sz w:val="28"/>
          <w:szCs w:val="28"/>
        </w:rPr>
        <w:t xml:space="preserve"> С.Я.</w:t>
      </w:r>
    </w:p>
    <w:p w:rsidR="00600D9B" w:rsidRDefault="00600D9B" w:rsidP="00600D9B">
      <w:pPr>
        <w:spacing w:line="360" w:lineRule="auto"/>
        <w:ind w:firstLine="4860"/>
        <w:jc w:val="right"/>
        <w:rPr>
          <w:sz w:val="28"/>
          <w:szCs w:val="28"/>
        </w:rPr>
      </w:pPr>
      <w:r>
        <w:rPr>
          <w:sz w:val="28"/>
          <w:szCs w:val="28"/>
        </w:rPr>
        <w:t>Прийняв:</w:t>
      </w:r>
    </w:p>
    <w:p w:rsidR="00600D9B" w:rsidRPr="00CD2953" w:rsidRDefault="00600D9B" w:rsidP="00600D9B">
      <w:pPr>
        <w:spacing w:line="360" w:lineRule="auto"/>
        <w:jc w:val="right"/>
        <w:rPr>
          <w:sz w:val="28"/>
          <w:szCs w:val="28"/>
          <w:lang w:eastAsia="uk-UA"/>
        </w:rPr>
      </w:pPr>
      <w:r w:rsidRPr="00CD2953">
        <w:rPr>
          <w:sz w:val="28"/>
          <w:szCs w:val="28"/>
          <w:lang w:eastAsia="uk-UA"/>
        </w:rPr>
        <w:t>доцент каф. ІСМ</w:t>
      </w:r>
    </w:p>
    <w:p w:rsidR="00600D9B" w:rsidRPr="00300F68" w:rsidRDefault="00600D9B" w:rsidP="00600D9B">
      <w:pPr>
        <w:spacing w:line="360" w:lineRule="auto"/>
        <w:ind w:firstLine="4860"/>
        <w:rPr>
          <w:i/>
          <w:sz w:val="28"/>
          <w:szCs w:val="28"/>
        </w:rPr>
      </w:pPr>
      <w:r>
        <w:rPr>
          <w:iCs/>
          <w:sz w:val="28"/>
        </w:rPr>
        <w:t xml:space="preserve">                                              </w:t>
      </w:r>
      <w:proofErr w:type="spellStart"/>
      <w:r w:rsidRPr="00300F68">
        <w:rPr>
          <w:i/>
          <w:iCs/>
          <w:sz w:val="28"/>
        </w:rPr>
        <w:t>Якушев</w:t>
      </w:r>
      <w:proofErr w:type="spellEnd"/>
      <w:r w:rsidRPr="00300F68">
        <w:rPr>
          <w:i/>
          <w:iCs/>
          <w:sz w:val="28"/>
        </w:rPr>
        <w:t xml:space="preserve"> В.С.</w:t>
      </w:r>
    </w:p>
    <w:p w:rsidR="00E02A85" w:rsidRPr="008D046D" w:rsidRDefault="00E02A85" w:rsidP="00300F68">
      <w:pPr>
        <w:spacing w:line="360" w:lineRule="auto"/>
        <w:rPr>
          <w:sz w:val="28"/>
          <w:szCs w:val="28"/>
        </w:rPr>
      </w:pPr>
    </w:p>
    <w:p w:rsidR="00E02A85" w:rsidRPr="008D046D" w:rsidRDefault="00E02A85" w:rsidP="00300F68">
      <w:pPr>
        <w:spacing w:line="360" w:lineRule="auto"/>
        <w:rPr>
          <w:sz w:val="28"/>
          <w:szCs w:val="28"/>
        </w:rPr>
      </w:pPr>
    </w:p>
    <w:p w:rsidR="00E02A85" w:rsidRPr="008D046D" w:rsidRDefault="00E02A85" w:rsidP="00300F68">
      <w:pPr>
        <w:spacing w:line="360" w:lineRule="auto"/>
        <w:jc w:val="center"/>
        <w:rPr>
          <w:sz w:val="28"/>
          <w:szCs w:val="28"/>
        </w:rPr>
      </w:pPr>
      <w:r w:rsidRPr="008D046D">
        <w:rPr>
          <w:sz w:val="28"/>
          <w:szCs w:val="28"/>
        </w:rPr>
        <w:t>Львів 201</w:t>
      </w:r>
      <w:r w:rsidR="00300F68" w:rsidRPr="008D046D">
        <w:rPr>
          <w:sz w:val="28"/>
          <w:szCs w:val="28"/>
        </w:rPr>
        <w:t>8</w:t>
      </w:r>
    </w:p>
    <w:p w:rsidR="00535029" w:rsidRDefault="00EE5C2F" w:rsidP="00535029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D046D">
        <w:rPr>
          <w:rFonts w:eastAsia="Roboto-Regular"/>
          <w:b/>
          <w:bCs/>
          <w:i/>
          <w:sz w:val="28"/>
          <w:szCs w:val="28"/>
        </w:rPr>
        <w:lastRenderedPageBreak/>
        <w:t>Мета роботи:</w:t>
      </w:r>
      <w:r w:rsidRPr="008D046D">
        <w:rPr>
          <w:rFonts w:eastAsia="Roboto-Regular"/>
          <w:b/>
          <w:bCs/>
          <w:sz w:val="28"/>
          <w:szCs w:val="28"/>
        </w:rPr>
        <w:t xml:space="preserve"> </w:t>
      </w:r>
      <w:r w:rsidR="00535029" w:rsidRPr="004B48EF">
        <w:rPr>
          <w:sz w:val="28"/>
          <w:szCs w:val="28"/>
        </w:rPr>
        <w:t xml:space="preserve">побудова та розрахунок мережі за методом CPM, використовуючи </w:t>
      </w:r>
      <w:r w:rsidR="00535029" w:rsidRPr="004B48EF">
        <w:rPr>
          <w:noProof/>
          <w:sz w:val="28"/>
          <w:szCs w:val="28"/>
        </w:rPr>
        <w:t>Microsoft Project</w:t>
      </w:r>
      <w:r w:rsidR="00535029" w:rsidRPr="004B48EF">
        <w:rPr>
          <w:b/>
          <w:sz w:val="28"/>
          <w:szCs w:val="28"/>
        </w:rPr>
        <w:t>.</w:t>
      </w:r>
    </w:p>
    <w:p w:rsidR="00535029" w:rsidRPr="008D046D" w:rsidRDefault="00535029" w:rsidP="00535029">
      <w:pPr>
        <w:spacing w:line="360" w:lineRule="auto"/>
        <w:ind w:firstLine="709"/>
        <w:jc w:val="both"/>
        <w:rPr>
          <w:b/>
          <w:i/>
          <w:color w:val="000000"/>
          <w:sz w:val="28"/>
          <w:szCs w:val="28"/>
          <w:shd w:val="clear" w:color="auto" w:fill="FFFFFF"/>
        </w:rPr>
      </w:pPr>
      <w:r w:rsidRPr="008D046D">
        <w:rPr>
          <w:b/>
          <w:i/>
          <w:color w:val="000000"/>
          <w:sz w:val="28"/>
          <w:szCs w:val="28"/>
          <w:shd w:val="clear" w:color="auto" w:fill="FFFFFF"/>
        </w:rPr>
        <w:t>Теоретичні відомості:</w:t>
      </w:r>
    </w:p>
    <w:p w:rsidR="00535029" w:rsidRPr="00535029" w:rsidRDefault="00535029" w:rsidP="00535029">
      <w:pPr>
        <w:spacing w:line="360" w:lineRule="auto"/>
        <w:ind w:firstLine="709"/>
        <w:jc w:val="both"/>
        <w:rPr>
          <w:sz w:val="28"/>
          <w:szCs w:val="28"/>
        </w:rPr>
      </w:pPr>
      <w:r w:rsidRPr="00535029">
        <w:rPr>
          <w:sz w:val="28"/>
          <w:szCs w:val="28"/>
        </w:rPr>
        <w:t xml:space="preserve">Метод  PERT орієнтований на врахування невизначеностей у </w:t>
      </w:r>
      <w:proofErr w:type="spellStart"/>
      <w:r w:rsidRPr="00535029">
        <w:rPr>
          <w:sz w:val="28"/>
          <w:szCs w:val="28"/>
        </w:rPr>
        <w:t>тривалостях</w:t>
      </w:r>
      <w:proofErr w:type="spellEnd"/>
      <w:r w:rsidRPr="00535029">
        <w:rPr>
          <w:sz w:val="28"/>
          <w:szCs w:val="28"/>
        </w:rPr>
        <w:t xml:space="preserve"> виконання робіт мережі, які описуються стохастичними характеристиками.</w:t>
      </w:r>
    </w:p>
    <w:p w:rsidR="00535029" w:rsidRPr="00535029" w:rsidRDefault="00535029" w:rsidP="00535029">
      <w:pPr>
        <w:spacing w:line="360" w:lineRule="auto"/>
        <w:ind w:firstLine="709"/>
        <w:jc w:val="both"/>
        <w:rPr>
          <w:sz w:val="28"/>
          <w:szCs w:val="28"/>
        </w:rPr>
      </w:pPr>
      <w:r w:rsidRPr="00535029">
        <w:rPr>
          <w:sz w:val="28"/>
          <w:szCs w:val="28"/>
        </w:rPr>
        <w:t>Кожна робота проекту характеризується трьома оцінками її тривалості, які отримуються зазвичай шляхом опитування експертів:</w:t>
      </w:r>
    </w:p>
    <w:p w:rsidR="00535029" w:rsidRPr="00535029" w:rsidRDefault="00535029" w:rsidP="00535029">
      <w:pPr>
        <w:pStyle w:val="Bulit"/>
        <w:numPr>
          <w:ilvl w:val="0"/>
          <w:numId w:val="7"/>
        </w:numPr>
        <w:ind w:firstLine="709"/>
        <w:rPr>
          <w:szCs w:val="28"/>
        </w:rPr>
      </w:pPr>
      <w:r w:rsidRPr="00535029">
        <w:rPr>
          <w:szCs w:val="28"/>
        </w:rPr>
        <w:t xml:space="preserve">найбільш ймовірною тривалістю виконання </w:t>
      </w:r>
      <w:r w:rsidRPr="00535029">
        <w:rPr>
          <w:position w:val="-6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3" ShapeID="_x0000_i1025" DrawAspect="Content" ObjectID="_1584407183" r:id="rId9"/>
        </w:object>
      </w:r>
      <w:r w:rsidRPr="00535029">
        <w:rPr>
          <w:szCs w:val="28"/>
        </w:rPr>
        <w:t xml:space="preserve"> ;</w:t>
      </w:r>
    </w:p>
    <w:p w:rsidR="00535029" w:rsidRPr="00535029" w:rsidRDefault="00535029" w:rsidP="00535029">
      <w:pPr>
        <w:pStyle w:val="Bulit"/>
        <w:numPr>
          <w:ilvl w:val="0"/>
          <w:numId w:val="7"/>
        </w:numPr>
        <w:ind w:firstLine="709"/>
        <w:rPr>
          <w:szCs w:val="28"/>
        </w:rPr>
      </w:pPr>
      <w:r w:rsidRPr="00535029">
        <w:rPr>
          <w:szCs w:val="28"/>
        </w:rPr>
        <w:t xml:space="preserve">найменшою тривалістю виконання — оптимістична тривалість </w:t>
      </w:r>
      <w:r w:rsidRPr="00535029">
        <w:rPr>
          <w:position w:val="-6"/>
          <w:szCs w:val="28"/>
        </w:rPr>
        <w:object w:dxaOrig="200" w:dyaOrig="220">
          <v:shape id="_x0000_i1026" type="#_x0000_t75" style="width:10.5pt;height:10.5pt" o:ole="">
            <v:imagedata r:id="rId10" o:title=""/>
          </v:shape>
          <o:OLEObject Type="Embed" ProgID="Equation.3" ShapeID="_x0000_i1026" DrawAspect="Content" ObjectID="_1584407184" r:id="rId11"/>
        </w:object>
      </w:r>
      <w:r w:rsidRPr="00535029">
        <w:rPr>
          <w:szCs w:val="28"/>
        </w:rPr>
        <w:t>;</w:t>
      </w:r>
    </w:p>
    <w:p w:rsidR="00535029" w:rsidRPr="00535029" w:rsidRDefault="00535029" w:rsidP="00535029">
      <w:pPr>
        <w:pStyle w:val="Bulit"/>
        <w:numPr>
          <w:ilvl w:val="0"/>
          <w:numId w:val="7"/>
        </w:numPr>
        <w:ind w:firstLine="709"/>
        <w:rPr>
          <w:szCs w:val="28"/>
        </w:rPr>
      </w:pPr>
      <w:r w:rsidRPr="00535029">
        <w:rPr>
          <w:szCs w:val="28"/>
        </w:rPr>
        <w:t xml:space="preserve">найбільша очікувана тривалість </w:t>
      </w:r>
      <w:r w:rsidRPr="00535029">
        <w:rPr>
          <w:position w:val="-6"/>
          <w:szCs w:val="28"/>
        </w:rPr>
        <w:object w:dxaOrig="200" w:dyaOrig="279">
          <v:shape id="_x0000_i1027" type="#_x0000_t75" style="width:10.5pt;height:13.5pt" o:ole="">
            <v:imagedata r:id="rId12" o:title=""/>
          </v:shape>
          <o:OLEObject Type="Embed" ProgID="Equation.3" ShapeID="_x0000_i1027" DrawAspect="Content" ObjectID="_1584407185" r:id="rId13"/>
        </w:object>
      </w:r>
      <w:r w:rsidRPr="00535029">
        <w:rPr>
          <w:szCs w:val="28"/>
        </w:rPr>
        <w:t xml:space="preserve"> — песимістична оцінка.</w:t>
      </w:r>
    </w:p>
    <w:p w:rsidR="00535029" w:rsidRPr="00535029" w:rsidRDefault="00535029" w:rsidP="00535029">
      <w:pPr>
        <w:spacing w:line="360" w:lineRule="auto"/>
        <w:ind w:firstLine="709"/>
        <w:jc w:val="both"/>
        <w:rPr>
          <w:sz w:val="28"/>
          <w:szCs w:val="28"/>
        </w:rPr>
      </w:pPr>
      <w:r w:rsidRPr="00535029">
        <w:rPr>
          <w:sz w:val="28"/>
          <w:szCs w:val="28"/>
        </w:rPr>
        <w:t xml:space="preserve">Найімовірніший час виконання роботи — це оцінка часу її виконання за нормальних умов.  Оптимістична та песимістична оцінки визначають розмах коливань тривалості під дією стохастичних факторів. Песимістична оцінка не враховує незвичні тривалі затримки чи катастрофи, а тому фактична тривалість виконання роботи може знаходитися й за межами визначеного інтервалу </w:t>
      </w:r>
      <w:proofErr w:type="spellStart"/>
      <w:r w:rsidRPr="00535029">
        <w:rPr>
          <w:sz w:val="28"/>
          <w:szCs w:val="28"/>
        </w:rPr>
        <w:t>тривалостей</w:t>
      </w:r>
      <w:proofErr w:type="spellEnd"/>
      <w:r w:rsidRPr="00535029">
        <w:rPr>
          <w:sz w:val="28"/>
          <w:szCs w:val="28"/>
        </w:rPr>
        <w:t>.</w:t>
      </w:r>
    </w:p>
    <w:p w:rsidR="00535029" w:rsidRPr="00535029" w:rsidRDefault="00535029" w:rsidP="00535029">
      <w:pPr>
        <w:spacing w:line="360" w:lineRule="auto"/>
        <w:ind w:firstLine="709"/>
        <w:jc w:val="both"/>
        <w:rPr>
          <w:sz w:val="28"/>
          <w:szCs w:val="28"/>
        </w:rPr>
      </w:pPr>
      <w:r w:rsidRPr="00535029">
        <w:rPr>
          <w:sz w:val="28"/>
          <w:szCs w:val="28"/>
        </w:rPr>
        <w:t xml:space="preserve">Для описання розподілу ймовірності виконання роботи залежно від часу використовується </w:t>
      </w:r>
      <w:r w:rsidRPr="00535029">
        <w:rPr>
          <w:position w:val="-10"/>
          <w:sz w:val="28"/>
          <w:szCs w:val="28"/>
        </w:rPr>
        <w:object w:dxaOrig="260" w:dyaOrig="320">
          <v:shape id="_x0000_i1028" type="#_x0000_t75" style="width:13.5pt;height:16.5pt" o:ole="">
            <v:imagedata r:id="rId14" o:title=""/>
          </v:shape>
          <o:OLEObject Type="Embed" ProgID="Equation.3" ShapeID="_x0000_i1028" DrawAspect="Content" ObjectID="_1584407186" r:id="rId15"/>
        </w:object>
      </w:r>
      <w:r w:rsidRPr="00535029">
        <w:rPr>
          <w:sz w:val="28"/>
          <w:szCs w:val="28"/>
        </w:rPr>
        <w:t xml:space="preserve">-розподіл. Нам необхідно, використовуючи цю інформацію, отримати такі параметри закону, як математичне сподівання та дисперсію як функції від значень </w:t>
      </w:r>
      <w:r w:rsidRPr="00535029">
        <w:rPr>
          <w:position w:val="-10"/>
          <w:sz w:val="28"/>
          <w:szCs w:val="28"/>
        </w:rPr>
        <w:object w:dxaOrig="660" w:dyaOrig="320">
          <v:shape id="_x0000_i1029" type="#_x0000_t75" style="width:33pt;height:16.5pt" o:ole="">
            <v:imagedata r:id="rId16" o:title=""/>
          </v:shape>
          <o:OLEObject Type="Embed" ProgID="Equation.3" ShapeID="_x0000_i1029" DrawAspect="Content" ObjectID="_1584407187" r:id="rId17"/>
        </w:object>
      </w:r>
      <w:r w:rsidRPr="00535029">
        <w:rPr>
          <w:sz w:val="28"/>
          <w:szCs w:val="28"/>
        </w:rPr>
        <w:t xml:space="preserve">. Для цього використаємо деякі </w:t>
      </w:r>
      <w:proofErr w:type="spellStart"/>
      <w:r w:rsidRPr="00535029">
        <w:rPr>
          <w:sz w:val="28"/>
          <w:szCs w:val="28"/>
        </w:rPr>
        <w:t>еврістичні</w:t>
      </w:r>
      <w:proofErr w:type="spellEnd"/>
      <w:r w:rsidRPr="00535029">
        <w:rPr>
          <w:sz w:val="28"/>
          <w:szCs w:val="28"/>
        </w:rPr>
        <w:t xml:space="preserve"> прийоми. Форма  </w:t>
      </w:r>
      <w:r w:rsidRPr="00535029">
        <w:rPr>
          <w:position w:val="-10"/>
          <w:sz w:val="28"/>
          <w:szCs w:val="28"/>
        </w:rPr>
        <w:object w:dxaOrig="260" w:dyaOrig="320">
          <v:shape id="_x0000_i1030" type="#_x0000_t75" style="width:13.5pt;height:16.5pt" o:ole="">
            <v:imagedata r:id="rId18" o:title=""/>
          </v:shape>
          <o:OLEObject Type="Embed" ProgID="Equation.3" ShapeID="_x0000_i1030" DrawAspect="Content" ObjectID="_1584407188" r:id="rId19"/>
        </w:object>
      </w:r>
      <w:proofErr w:type="spellStart"/>
      <w:r w:rsidRPr="00535029">
        <w:rPr>
          <w:sz w:val="28"/>
          <w:szCs w:val="28"/>
        </w:rPr>
        <w:t>-розподілу</w:t>
      </w:r>
      <w:proofErr w:type="spellEnd"/>
      <w:r w:rsidRPr="00535029">
        <w:rPr>
          <w:sz w:val="28"/>
          <w:szCs w:val="28"/>
        </w:rPr>
        <w:t xml:space="preserve"> в загальному випадку відображена нижче.</w:t>
      </w:r>
    </w:p>
    <w:p w:rsidR="00535029" w:rsidRPr="00535029" w:rsidRDefault="00535029" w:rsidP="00535029">
      <w:pPr>
        <w:spacing w:line="360" w:lineRule="auto"/>
        <w:ind w:firstLine="709"/>
        <w:jc w:val="both"/>
        <w:rPr>
          <w:sz w:val="28"/>
          <w:szCs w:val="28"/>
        </w:rPr>
      </w:pPr>
      <w:r w:rsidRPr="00535029">
        <w:rPr>
          <w:sz w:val="28"/>
          <w:szCs w:val="28"/>
        </w:rPr>
        <w:object w:dxaOrig="4878" w:dyaOrig="3023">
          <v:shape id="_x0000_i1031" type="#_x0000_t75" style="width:244.5pt;height:151.5pt" o:ole="">
            <v:imagedata r:id="rId20" o:title=""/>
          </v:shape>
          <o:OLEObject Type="Embed" ProgID="Visio.Drawing.11" ShapeID="_x0000_i1031" DrawAspect="Content" ObjectID="_1584407189" r:id="rId21"/>
        </w:object>
      </w:r>
    </w:p>
    <w:p w:rsidR="00535029" w:rsidRPr="00535029" w:rsidRDefault="00535029" w:rsidP="00535029">
      <w:pPr>
        <w:spacing w:line="360" w:lineRule="auto"/>
        <w:ind w:firstLine="709"/>
        <w:jc w:val="both"/>
        <w:rPr>
          <w:sz w:val="28"/>
          <w:szCs w:val="28"/>
        </w:rPr>
      </w:pPr>
      <w:r w:rsidRPr="00535029">
        <w:rPr>
          <w:sz w:val="28"/>
          <w:szCs w:val="28"/>
        </w:rPr>
        <w:t xml:space="preserve">Припустимо, що “вага”  середньої тривалості (медіани розподілу </w:t>
      </w:r>
      <w:proofErr w:type="spellStart"/>
      <w:r w:rsidRPr="00535029">
        <w:rPr>
          <w:sz w:val="28"/>
          <w:szCs w:val="28"/>
        </w:rPr>
        <w:t>med</w:t>
      </w:r>
      <w:proofErr w:type="spellEnd"/>
      <w:r w:rsidRPr="00535029">
        <w:rPr>
          <w:sz w:val="28"/>
          <w:szCs w:val="28"/>
        </w:rPr>
        <w:t xml:space="preserve">), </w:t>
      </w:r>
      <w:r w:rsidRPr="00535029">
        <w:rPr>
          <w:position w:val="-10"/>
          <w:sz w:val="28"/>
          <w:szCs w:val="28"/>
        </w:rPr>
        <w:object w:dxaOrig="1600" w:dyaOrig="340">
          <v:shape id="_x0000_i1032" type="#_x0000_t75" style="width:79.5pt;height:16.5pt" o:ole="">
            <v:imagedata r:id="rId22" o:title=""/>
          </v:shape>
          <o:OLEObject Type="Embed" ProgID="Equation.3" ShapeID="_x0000_i1032" DrawAspect="Content" ObjectID="_1584407190" r:id="rId23"/>
        </w:object>
      </w:r>
      <w:r w:rsidRPr="00535029">
        <w:rPr>
          <w:sz w:val="28"/>
          <w:szCs w:val="28"/>
        </w:rPr>
        <w:t xml:space="preserve"> в два рази менша, ніж  “вага” найбільш ймовірної тривалості </w:t>
      </w:r>
      <w:r w:rsidRPr="00535029">
        <w:rPr>
          <w:position w:val="-6"/>
          <w:sz w:val="28"/>
          <w:szCs w:val="28"/>
        </w:rPr>
        <w:object w:dxaOrig="260" w:dyaOrig="220">
          <v:shape id="_x0000_i1033" type="#_x0000_t75" style="width:13.5pt;height:10.5pt" o:ole="">
            <v:imagedata r:id="rId24" o:title=""/>
          </v:shape>
          <o:OLEObject Type="Embed" ProgID="Equation.3" ShapeID="_x0000_i1033" DrawAspect="Content" ObjectID="_1584407191" r:id="rId25"/>
        </w:object>
      </w:r>
      <w:r w:rsidRPr="00535029">
        <w:rPr>
          <w:sz w:val="28"/>
          <w:szCs w:val="28"/>
        </w:rPr>
        <w:t xml:space="preserve"> </w:t>
      </w:r>
      <w:r w:rsidRPr="00535029">
        <w:rPr>
          <w:sz w:val="28"/>
          <w:szCs w:val="28"/>
        </w:rPr>
        <w:lastRenderedPageBreak/>
        <w:t xml:space="preserve">(моди розподілу). За цього припущення значення математичного сподівання буде середнім арифметичним між </w:t>
      </w:r>
      <w:r w:rsidRPr="00535029">
        <w:rPr>
          <w:position w:val="-6"/>
          <w:sz w:val="28"/>
          <w:szCs w:val="28"/>
        </w:rPr>
        <w:object w:dxaOrig="499" w:dyaOrig="279">
          <v:shape id="_x0000_i1034" type="#_x0000_t75" style="width:25.5pt;height:13.5pt" o:ole="">
            <v:imagedata r:id="rId26" o:title=""/>
          </v:shape>
          <o:OLEObject Type="Embed" ProgID="Equation.3" ShapeID="_x0000_i1034" DrawAspect="Content" ObjectID="_1584407192" r:id="rId27"/>
        </w:object>
      </w:r>
      <w:r w:rsidRPr="00535029">
        <w:rPr>
          <w:sz w:val="28"/>
          <w:szCs w:val="28"/>
        </w:rPr>
        <w:t xml:space="preserve"> та зваженим значенням </w:t>
      </w:r>
      <w:r w:rsidRPr="00535029">
        <w:rPr>
          <w:position w:val="-6"/>
          <w:sz w:val="28"/>
          <w:szCs w:val="28"/>
        </w:rPr>
        <w:object w:dxaOrig="260" w:dyaOrig="220">
          <v:shape id="_x0000_i1035" type="#_x0000_t75" style="width:13.5pt;height:10.5pt" o:ole="">
            <v:imagedata r:id="rId28" o:title=""/>
          </v:shape>
          <o:OLEObject Type="Embed" ProgID="Equation.3" ShapeID="_x0000_i1035" DrawAspect="Content" ObjectID="_1584407193" r:id="rId29"/>
        </w:object>
      </w:r>
      <w:r w:rsidRPr="00535029">
        <w:rPr>
          <w:sz w:val="28"/>
          <w:szCs w:val="28"/>
        </w:rPr>
        <w:t xml:space="preserve">, а саме </w:t>
      </w:r>
      <w:r w:rsidRPr="00535029">
        <w:rPr>
          <w:position w:val="-10"/>
          <w:sz w:val="28"/>
          <w:szCs w:val="28"/>
        </w:rPr>
        <w:object w:dxaOrig="3320" w:dyaOrig="340">
          <v:shape id="_x0000_i1036" type="#_x0000_t75" style="width:166.5pt;height:16.5pt" o:ole="">
            <v:imagedata r:id="rId30" o:title=""/>
          </v:shape>
          <o:OLEObject Type="Embed" ProgID="Equation.3" ShapeID="_x0000_i1036" DrawAspect="Content" ObjectID="_1584407194" r:id="rId31"/>
        </w:object>
      </w:r>
      <w:r w:rsidRPr="00535029">
        <w:rPr>
          <w:sz w:val="28"/>
          <w:szCs w:val="28"/>
        </w:rPr>
        <w:t xml:space="preserve">. Розмах </w:t>
      </w:r>
      <w:r w:rsidRPr="00535029">
        <w:rPr>
          <w:position w:val="-10"/>
          <w:sz w:val="28"/>
          <w:szCs w:val="28"/>
        </w:rPr>
        <w:object w:dxaOrig="540" w:dyaOrig="340">
          <v:shape id="_x0000_i1037" type="#_x0000_t75" style="width:27pt;height:16.5pt" o:ole="">
            <v:imagedata r:id="rId32" o:title=""/>
          </v:shape>
          <o:OLEObject Type="Embed" ProgID="Equation.3" ShapeID="_x0000_i1037" DrawAspect="Content" ObjectID="_1584407195" r:id="rId33"/>
        </w:object>
      </w:r>
      <w:r w:rsidRPr="00535029">
        <w:rPr>
          <w:sz w:val="28"/>
          <w:szCs w:val="28"/>
        </w:rPr>
        <w:t xml:space="preserve"> приймемо рівним </w:t>
      </w:r>
      <w:r w:rsidRPr="00535029">
        <w:rPr>
          <w:position w:val="-6"/>
          <w:sz w:val="28"/>
          <w:szCs w:val="28"/>
        </w:rPr>
        <w:object w:dxaOrig="560" w:dyaOrig="279">
          <v:shape id="_x0000_i1038" type="#_x0000_t75" style="width:28.5pt;height:13.5pt" o:ole="">
            <v:imagedata r:id="rId34" o:title=""/>
          </v:shape>
          <o:OLEObject Type="Embed" ProgID="Equation.3" ShapeID="_x0000_i1038" DrawAspect="Content" ObjectID="_1584407196" r:id="rId35"/>
        </w:object>
      </w:r>
      <w:r w:rsidRPr="00535029">
        <w:rPr>
          <w:sz w:val="28"/>
          <w:szCs w:val="28"/>
        </w:rPr>
        <w:t xml:space="preserve"> (за цієї умови для </w:t>
      </w:r>
      <w:r w:rsidRPr="00535029">
        <w:rPr>
          <w:position w:val="-10"/>
          <w:sz w:val="28"/>
          <w:szCs w:val="28"/>
        </w:rPr>
        <w:object w:dxaOrig="260" w:dyaOrig="320">
          <v:shape id="_x0000_i1039" type="#_x0000_t75" style="width:13.5pt;height:16.5pt" o:ole="">
            <v:imagedata r:id="rId36" o:title=""/>
          </v:shape>
          <o:OLEObject Type="Embed" ProgID="Equation.3" ShapeID="_x0000_i1039" DrawAspect="Content" ObjectID="_1584407197" r:id="rId37"/>
        </w:object>
      </w:r>
      <w:proofErr w:type="spellStart"/>
      <w:r w:rsidRPr="00535029">
        <w:rPr>
          <w:sz w:val="28"/>
          <w:szCs w:val="28"/>
        </w:rPr>
        <w:t>-розподілу</w:t>
      </w:r>
      <w:proofErr w:type="spellEnd"/>
      <w:r w:rsidRPr="00535029">
        <w:rPr>
          <w:sz w:val="28"/>
          <w:szCs w:val="28"/>
        </w:rPr>
        <w:t xml:space="preserve"> біля 90% площі під функцією густини розподілу буде знаходитися в межах розмаху). Виходячи з цього </w:t>
      </w:r>
      <w:r w:rsidRPr="00535029">
        <w:rPr>
          <w:position w:val="-10"/>
          <w:sz w:val="28"/>
          <w:szCs w:val="28"/>
        </w:rPr>
        <w:object w:dxaOrig="1340" w:dyaOrig="340">
          <v:shape id="_x0000_i1040" type="#_x0000_t75" style="width:67.5pt;height:16.5pt" o:ole="">
            <v:imagedata r:id="rId38" o:title=""/>
          </v:shape>
          <o:OLEObject Type="Embed" ProgID="Equation.3" ShapeID="_x0000_i1040" DrawAspect="Content" ObjectID="_1584407198" r:id="rId39"/>
        </w:object>
      </w:r>
      <w:r w:rsidRPr="00535029">
        <w:rPr>
          <w:sz w:val="28"/>
          <w:szCs w:val="28"/>
        </w:rPr>
        <w:t xml:space="preserve">, тобто дисперсія </w:t>
      </w:r>
      <w:r w:rsidRPr="00535029">
        <w:rPr>
          <w:position w:val="-10"/>
          <w:sz w:val="28"/>
          <w:szCs w:val="28"/>
        </w:rPr>
        <w:object w:dxaOrig="1579" w:dyaOrig="380">
          <v:shape id="_x0000_i1041" type="#_x0000_t75" style="width:79.5pt;height:19.5pt" o:ole="">
            <v:imagedata r:id="rId40" o:title=""/>
          </v:shape>
          <o:OLEObject Type="Embed" ProgID="Equation.3" ShapeID="_x0000_i1041" DrawAspect="Content" ObjectID="_1584407199" r:id="rId41"/>
        </w:object>
      </w:r>
      <w:r w:rsidRPr="00535029">
        <w:rPr>
          <w:sz w:val="28"/>
          <w:szCs w:val="28"/>
        </w:rPr>
        <w:t xml:space="preserve">. </w:t>
      </w:r>
    </w:p>
    <w:p w:rsidR="00EE5C2F" w:rsidRPr="008D046D" w:rsidRDefault="00EE5C2F" w:rsidP="00535029">
      <w:pPr>
        <w:spacing w:line="360" w:lineRule="auto"/>
        <w:ind w:firstLine="709"/>
        <w:jc w:val="both"/>
        <w:rPr>
          <w:b/>
          <w:i/>
          <w:color w:val="333333"/>
          <w:sz w:val="28"/>
          <w:szCs w:val="28"/>
        </w:rPr>
      </w:pPr>
      <w:r w:rsidRPr="008D046D">
        <w:rPr>
          <w:b/>
          <w:i/>
          <w:color w:val="333333"/>
          <w:sz w:val="28"/>
          <w:szCs w:val="28"/>
        </w:rPr>
        <w:t xml:space="preserve">Варіант </w:t>
      </w:r>
      <w:r w:rsidR="007070B0">
        <w:rPr>
          <w:b/>
          <w:i/>
          <w:color w:val="333333"/>
          <w:sz w:val="28"/>
          <w:szCs w:val="28"/>
        </w:rPr>
        <w:t>34</w:t>
      </w:r>
    </w:p>
    <w:p w:rsidR="00535029" w:rsidRPr="00535029" w:rsidRDefault="00D61D0D" w:rsidP="00535029">
      <w:pPr>
        <w:spacing w:line="360" w:lineRule="auto"/>
        <w:ind w:firstLine="709"/>
        <w:jc w:val="both"/>
        <w:rPr>
          <w:sz w:val="28"/>
          <w:szCs w:val="28"/>
        </w:rPr>
      </w:pPr>
      <w:r w:rsidRPr="008D046D">
        <w:rPr>
          <w:b/>
          <w:bCs/>
          <w:i/>
          <w:sz w:val="28"/>
          <w:szCs w:val="28"/>
        </w:rPr>
        <w:t xml:space="preserve">Завдання </w:t>
      </w:r>
      <w:r w:rsidRPr="00535029">
        <w:rPr>
          <w:b/>
          <w:bCs/>
          <w:i/>
          <w:sz w:val="28"/>
          <w:szCs w:val="28"/>
        </w:rPr>
        <w:t>роботи:</w:t>
      </w:r>
      <w:r w:rsidRPr="00535029">
        <w:rPr>
          <w:sz w:val="28"/>
          <w:szCs w:val="28"/>
        </w:rPr>
        <w:t xml:space="preserve"> </w:t>
      </w:r>
      <w:r w:rsidR="00535029" w:rsidRPr="00535029">
        <w:rPr>
          <w:sz w:val="28"/>
          <w:szCs w:val="28"/>
        </w:rPr>
        <w:t>Ввести характеристики робіт згідно до завдання 2. Визначити ймовірність реалізації проекту в визначений строк. Проаналізувати ресурсні характеристики проекту для заданого розподілу одного ресурсу між роботами проекту.</w:t>
      </w:r>
    </w:p>
    <w:p w:rsidR="001F5DAF" w:rsidRPr="008D046D" w:rsidRDefault="001F5DAF" w:rsidP="001F5DAF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D046D">
        <w:rPr>
          <w:noProof/>
          <w:sz w:val="28"/>
          <w:szCs w:val="28"/>
        </w:rPr>
        <w:t>Відношення передування: C &lt; G, B</w:t>
      </w:r>
      <w:r w:rsidR="00B97B9D">
        <w:rPr>
          <w:rStyle w:val="Bold"/>
          <w:noProof/>
          <w:sz w:val="28"/>
          <w:szCs w:val="28"/>
        </w:rPr>
        <w:t>,</w:t>
      </w:r>
      <w:r w:rsidRPr="008D046D">
        <w:rPr>
          <w:rStyle w:val="Bold"/>
          <w:b w:val="0"/>
          <w:noProof/>
          <w:sz w:val="28"/>
          <w:szCs w:val="28"/>
        </w:rPr>
        <w:t xml:space="preserve"> A &lt; H, J, K</w:t>
      </w:r>
      <w:r w:rsidR="00B97B9D">
        <w:rPr>
          <w:rStyle w:val="Bold"/>
          <w:b w:val="0"/>
          <w:noProof/>
          <w:sz w:val="28"/>
          <w:szCs w:val="28"/>
        </w:rPr>
        <w:t>,</w:t>
      </w:r>
      <w:r w:rsidRPr="008D046D">
        <w:rPr>
          <w:rStyle w:val="Bold"/>
          <w:b w:val="0"/>
          <w:noProof/>
          <w:sz w:val="28"/>
          <w:szCs w:val="28"/>
        </w:rPr>
        <w:t xml:space="preserve"> G &lt; I, F</w:t>
      </w:r>
      <w:r w:rsidR="00B97B9D">
        <w:rPr>
          <w:rStyle w:val="Bold"/>
          <w:b w:val="0"/>
          <w:noProof/>
          <w:sz w:val="28"/>
          <w:szCs w:val="28"/>
        </w:rPr>
        <w:t>,</w:t>
      </w:r>
      <w:r w:rsidRPr="008D046D">
        <w:rPr>
          <w:rStyle w:val="Bold"/>
          <w:b w:val="0"/>
          <w:noProof/>
          <w:sz w:val="28"/>
          <w:szCs w:val="28"/>
        </w:rPr>
        <w:t xml:space="preserve"> E &lt; F</w:t>
      </w:r>
      <w:r w:rsidR="00B97B9D">
        <w:rPr>
          <w:rStyle w:val="Bold"/>
          <w:b w:val="0"/>
          <w:noProof/>
          <w:sz w:val="28"/>
          <w:szCs w:val="28"/>
        </w:rPr>
        <w:t>,</w:t>
      </w:r>
      <w:r w:rsidRPr="008D046D">
        <w:rPr>
          <w:rStyle w:val="Bold"/>
          <w:b w:val="0"/>
          <w:noProof/>
          <w:sz w:val="28"/>
          <w:szCs w:val="28"/>
        </w:rPr>
        <w:t xml:space="preserve"> B &lt; E</w:t>
      </w:r>
      <w:r w:rsidR="00B97B9D">
        <w:rPr>
          <w:rStyle w:val="Bold"/>
          <w:b w:val="0"/>
          <w:noProof/>
          <w:sz w:val="28"/>
          <w:szCs w:val="28"/>
        </w:rPr>
        <w:t>,</w:t>
      </w:r>
      <w:r w:rsidRPr="008D046D">
        <w:rPr>
          <w:rStyle w:val="Bold"/>
          <w:b w:val="0"/>
          <w:noProof/>
          <w:sz w:val="28"/>
          <w:szCs w:val="28"/>
        </w:rPr>
        <w:t xml:space="preserve"> D &lt; A, E</w:t>
      </w:r>
      <w:r w:rsidR="00B97B9D">
        <w:rPr>
          <w:rStyle w:val="Bold"/>
          <w:b w:val="0"/>
          <w:noProof/>
          <w:sz w:val="28"/>
          <w:szCs w:val="28"/>
        </w:rPr>
        <w:t>,</w:t>
      </w:r>
      <w:r w:rsidRPr="008D046D">
        <w:rPr>
          <w:rStyle w:val="Bold"/>
          <w:b w:val="0"/>
          <w:noProof/>
          <w:sz w:val="28"/>
          <w:szCs w:val="28"/>
        </w:rPr>
        <w:t xml:space="preserve"> H &lt; F.</w:t>
      </w:r>
    </w:p>
    <w:p w:rsidR="001F5DAF" w:rsidRPr="008D046D" w:rsidRDefault="001F5DAF" w:rsidP="001F5DAF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D046D">
        <w:rPr>
          <w:noProof/>
          <w:sz w:val="28"/>
          <w:szCs w:val="28"/>
        </w:rPr>
        <w:t xml:space="preserve">Тривалості робіт зведені в таблицю - в першому рядку. Два останні рядки відображають необхідні витрати ресурсів 1-го та другого виду.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528"/>
        <w:gridCol w:w="528"/>
        <w:gridCol w:w="528"/>
        <w:gridCol w:w="528"/>
        <w:gridCol w:w="527"/>
        <w:gridCol w:w="528"/>
        <w:gridCol w:w="528"/>
        <w:gridCol w:w="528"/>
        <w:gridCol w:w="528"/>
        <w:gridCol w:w="528"/>
      </w:tblGrid>
      <w:tr w:rsidR="007070B0" w:rsidRPr="007070B0" w:rsidTr="007070B0">
        <w:trPr>
          <w:jc w:val="center"/>
        </w:trPr>
        <w:tc>
          <w:tcPr>
            <w:tcW w:w="527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A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B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C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D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E</w:t>
            </w:r>
          </w:p>
        </w:tc>
        <w:tc>
          <w:tcPr>
            <w:tcW w:w="527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F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G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H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I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J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K</w:t>
            </w:r>
          </w:p>
        </w:tc>
      </w:tr>
      <w:tr w:rsidR="007070B0" w:rsidRPr="007070B0" w:rsidTr="007070B0">
        <w:trPr>
          <w:jc w:val="center"/>
        </w:trPr>
        <w:tc>
          <w:tcPr>
            <w:tcW w:w="527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4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6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12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16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17</w:t>
            </w:r>
          </w:p>
        </w:tc>
        <w:tc>
          <w:tcPr>
            <w:tcW w:w="527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9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6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11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17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12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8</w:t>
            </w:r>
          </w:p>
        </w:tc>
      </w:tr>
      <w:tr w:rsidR="007070B0" w:rsidRPr="007070B0" w:rsidTr="007070B0">
        <w:trPr>
          <w:jc w:val="center"/>
        </w:trPr>
        <w:tc>
          <w:tcPr>
            <w:tcW w:w="527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4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12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7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12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9</w:t>
            </w:r>
          </w:p>
        </w:tc>
        <w:tc>
          <w:tcPr>
            <w:tcW w:w="527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12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4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21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9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11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4</w:t>
            </w:r>
          </w:p>
        </w:tc>
      </w:tr>
      <w:tr w:rsidR="007070B0" w:rsidRPr="007070B0" w:rsidTr="007070B0">
        <w:trPr>
          <w:jc w:val="center"/>
        </w:trPr>
        <w:tc>
          <w:tcPr>
            <w:tcW w:w="527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12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7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10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8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8</w:t>
            </w:r>
          </w:p>
        </w:tc>
        <w:tc>
          <w:tcPr>
            <w:tcW w:w="527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12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8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10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12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6</w:t>
            </w:r>
          </w:p>
        </w:tc>
        <w:tc>
          <w:tcPr>
            <w:tcW w:w="528" w:type="dxa"/>
          </w:tcPr>
          <w:p w:rsidR="007070B0" w:rsidRPr="007070B0" w:rsidRDefault="007070B0" w:rsidP="006D7A68">
            <w:pPr>
              <w:rPr>
                <w:sz w:val="28"/>
              </w:rPr>
            </w:pPr>
            <w:r w:rsidRPr="007070B0">
              <w:rPr>
                <w:sz w:val="28"/>
              </w:rPr>
              <w:t>8</w:t>
            </w:r>
          </w:p>
        </w:tc>
      </w:tr>
    </w:tbl>
    <w:p w:rsidR="00535029" w:rsidRDefault="00535029" w:rsidP="00535029">
      <w:pPr>
        <w:spacing w:line="360" w:lineRule="auto"/>
        <w:jc w:val="center"/>
        <w:rPr>
          <w:noProof/>
          <w:sz w:val="28"/>
          <w:szCs w:val="28"/>
          <w:lang w:val="ru-RU"/>
        </w:rPr>
      </w:pPr>
    </w:p>
    <w:p w:rsidR="00EE5C2F" w:rsidRPr="008D046D" w:rsidRDefault="00EE5C2F" w:rsidP="00D61D0D">
      <w:pPr>
        <w:spacing w:line="360" w:lineRule="auto"/>
        <w:ind w:firstLine="709"/>
        <w:jc w:val="center"/>
        <w:rPr>
          <w:b/>
          <w:i/>
          <w:sz w:val="32"/>
          <w:szCs w:val="28"/>
        </w:rPr>
      </w:pPr>
      <w:r w:rsidRPr="008D046D">
        <w:rPr>
          <w:b/>
          <w:i/>
          <w:sz w:val="32"/>
          <w:szCs w:val="28"/>
        </w:rPr>
        <w:t>Хід роботи</w:t>
      </w:r>
    </w:p>
    <w:p w:rsidR="008A32A0" w:rsidRDefault="008A32A0" w:rsidP="008A32A0">
      <w:pPr>
        <w:autoSpaceDE w:val="0"/>
        <w:autoSpaceDN w:val="0"/>
        <w:adjustRightInd w:val="0"/>
        <w:jc w:val="center"/>
        <w:rPr>
          <w:b/>
          <w:sz w:val="20"/>
          <w:szCs w:val="19"/>
        </w:rPr>
      </w:pPr>
    </w:p>
    <w:p w:rsidR="00535029" w:rsidRDefault="00535029" w:rsidP="00535029">
      <w:pPr>
        <w:autoSpaceDE w:val="0"/>
        <w:autoSpaceDN w:val="0"/>
        <w:adjustRightInd w:val="0"/>
        <w:jc w:val="center"/>
        <w:rPr>
          <w:b/>
          <w:sz w:val="28"/>
          <w:szCs w:val="19"/>
          <w:lang w:val="ru-RU"/>
        </w:rPr>
      </w:pPr>
      <w:r>
        <w:rPr>
          <w:b/>
          <w:noProof/>
          <w:sz w:val="28"/>
          <w:szCs w:val="19"/>
          <w:lang w:eastAsia="uk-UA"/>
        </w:rPr>
        <w:drawing>
          <wp:inline distT="0" distB="0" distL="0" distR="0">
            <wp:extent cx="4229100" cy="188843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biLevel thresh="2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057" cy="189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29" w:rsidRPr="00535029" w:rsidRDefault="00535029" w:rsidP="00535029">
      <w:pPr>
        <w:autoSpaceDE w:val="0"/>
        <w:autoSpaceDN w:val="0"/>
        <w:adjustRightInd w:val="0"/>
        <w:jc w:val="center"/>
        <w:rPr>
          <w:i/>
          <w:sz w:val="28"/>
          <w:szCs w:val="19"/>
          <w:lang w:val="ru-RU"/>
        </w:rPr>
      </w:pPr>
      <w:r w:rsidRPr="00535029">
        <w:rPr>
          <w:i/>
          <w:sz w:val="28"/>
          <w:szCs w:val="19"/>
        </w:rPr>
        <w:t xml:space="preserve">Рис </w:t>
      </w:r>
      <w:r w:rsidRPr="00535029">
        <w:rPr>
          <w:i/>
          <w:sz w:val="28"/>
          <w:szCs w:val="19"/>
          <w:lang w:val="ru-RU"/>
        </w:rPr>
        <w:t>1</w:t>
      </w:r>
      <w:r w:rsidRPr="00535029">
        <w:rPr>
          <w:i/>
          <w:sz w:val="28"/>
          <w:szCs w:val="19"/>
        </w:rPr>
        <w:t xml:space="preserve">. Таблиця з даними про для методу </w:t>
      </w:r>
      <w:r w:rsidRPr="00535029">
        <w:rPr>
          <w:i/>
          <w:sz w:val="28"/>
          <w:szCs w:val="19"/>
          <w:lang w:val="en-US"/>
        </w:rPr>
        <w:t>PERT</w:t>
      </w:r>
    </w:p>
    <w:p w:rsidR="00535029" w:rsidRDefault="00535029" w:rsidP="00535029">
      <w:pPr>
        <w:autoSpaceDE w:val="0"/>
        <w:autoSpaceDN w:val="0"/>
        <w:adjustRightInd w:val="0"/>
        <w:jc w:val="center"/>
        <w:rPr>
          <w:noProof/>
          <w:lang w:val="ru-RU"/>
        </w:rPr>
      </w:pPr>
    </w:p>
    <w:p w:rsidR="00535029" w:rsidRPr="00B62152" w:rsidRDefault="00535029" w:rsidP="00535029">
      <w:pPr>
        <w:autoSpaceDE w:val="0"/>
        <w:autoSpaceDN w:val="0"/>
        <w:adjustRightInd w:val="0"/>
        <w:jc w:val="center"/>
        <w:rPr>
          <w:b/>
          <w:sz w:val="20"/>
          <w:szCs w:val="19"/>
          <w:lang w:val="ru-RU"/>
        </w:rPr>
      </w:pPr>
      <w:r>
        <w:rPr>
          <w:b/>
          <w:noProof/>
          <w:sz w:val="20"/>
          <w:szCs w:val="19"/>
          <w:lang w:eastAsia="uk-UA"/>
        </w:rPr>
        <w:lastRenderedPageBreak/>
        <w:drawing>
          <wp:inline distT="0" distB="0" distL="0" distR="0">
            <wp:extent cx="6120765" cy="1375818"/>
            <wp:effectExtent l="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7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29" w:rsidRPr="00535029" w:rsidRDefault="00535029" w:rsidP="00535029">
      <w:pPr>
        <w:autoSpaceDE w:val="0"/>
        <w:autoSpaceDN w:val="0"/>
        <w:adjustRightInd w:val="0"/>
        <w:jc w:val="center"/>
        <w:rPr>
          <w:i/>
          <w:sz w:val="28"/>
          <w:szCs w:val="19"/>
        </w:rPr>
      </w:pPr>
      <w:r w:rsidRPr="00535029">
        <w:rPr>
          <w:i/>
          <w:sz w:val="28"/>
          <w:szCs w:val="19"/>
        </w:rPr>
        <w:t xml:space="preserve">Рис </w:t>
      </w:r>
      <w:r w:rsidRPr="00535029">
        <w:rPr>
          <w:i/>
          <w:sz w:val="28"/>
          <w:szCs w:val="19"/>
          <w:lang w:val="ru-RU"/>
        </w:rPr>
        <w:t>2</w:t>
      </w:r>
      <w:r>
        <w:rPr>
          <w:i/>
          <w:sz w:val="28"/>
          <w:szCs w:val="19"/>
        </w:rPr>
        <w:t>.</w:t>
      </w:r>
      <w:r>
        <w:rPr>
          <w:i/>
          <w:sz w:val="28"/>
          <w:szCs w:val="19"/>
          <w:lang w:val="ru-RU"/>
        </w:rPr>
        <w:t>1.</w:t>
      </w:r>
      <w:r w:rsidRPr="00535029">
        <w:rPr>
          <w:i/>
          <w:sz w:val="28"/>
          <w:szCs w:val="19"/>
        </w:rPr>
        <w:t xml:space="preserve"> </w:t>
      </w:r>
      <w:proofErr w:type="spellStart"/>
      <w:r w:rsidRPr="00535029">
        <w:rPr>
          <w:i/>
          <w:sz w:val="28"/>
          <w:szCs w:val="19"/>
          <w:lang w:val="ru-RU"/>
        </w:rPr>
        <w:t>Найб</w:t>
      </w:r>
      <w:r w:rsidRPr="00535029">
        <w:rPr>
          <w:i/>
          <w:sz w:val="28"/>
          <w:szCs w:val="19"/>
        </w:rPr>
        <w:t>ільш</w:t>
      </w:r>
      <w:proofErr w:type="spellEnd"/>
      <w:r w:rsidRPr="00535029">
        <w:rPr>
          <w:i/>
          <w:sz w:val="28"/>
          <w:szCs w:val="19"/>
        </w:rPr>
        <w:t xml:space="preserve"> ймовірна оцінка часу</w:t>
      </w:r>
    </w:p>
    <w:p w:rsidR="00535029" w:rsidRDefault="00535029" w:rsidP="00535029">
      <w:pPr>
        <w:autoSpaceDE w:val="0"/>
        <w:autoSpaceDN w:val="0"/>
        <w:adjustRightInd w:val="0"/>
        <w:jc w:val="center"/>
        <w:rPr>
          <w:b/>
          <w:sz w:val="28"/>
          <w:szCs w:val="19"/>
        </w:rPr>
      </w:pPr>
    </w:p>
    <w:p w:rsidR="00535029" w:rsidRDefault="00535029" w:rsidP="00535029">
      <w:pPr>
        <w:autoSpaceDE w:val="0"/>
        <w:autoSpaceDN w:val="0"/>
        <w:adjustRightInd w:val="0"/>
        <w:jc w:val="center"/>
        <w:rPr>
          <w:noProof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1583955"/>
            <wp:effectExtent l="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8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29" w:rsidRPr="00535029" w:rsidRDefault="00535029" w:rsidP="00535029">
      <w:pPr>
        <w:autoSpaceDE w:val="0"/>
        <w:autoSpaceDN w:val="0"/>
        <w:adjustRightInd w:val="0"/>
        <w:jc w:val="center"/>
        <w:rPr>
          <w:i/>
          <w:sz w:val="28"/>
          <w:szCs w:val="19"/>
          <w:lang w:val="ru-RU"/>
        </w:rPr>
      </w:pPr>
      <w:r w:rsidRPr="00535029">
        <w:rPr>
          <w:i/>
          <w:sz w:val="28"/>
          <w:szCs w:val="19"/>
        </w:rPr>
        <w:t>Рис 2.</w:t>
      </w:r>
      <w:r w:rsidRPr="00535029">
        <w:rPr>
          <w:i/>
          <w:sz w:val="28"/>
          <w:szCs w:val="19"/>
          <w:lang w:val="ru-RU"/>
        </w:rPr>
        <w:t>2</w:t>
      </w:r>
      <w:r>
        <w:rPr>
          <w:i/>
          <w:sz w:val="28"/>
          <w:szCs w:val="19"/>
          <w:lang w:val="ru-RU"/>
        </w:rPr>
        <w:t>.</w:t>
      </w:r>
      <w:r w:rsidRPr="00535029">
        <w:rPr>
          <w:i/>
          <w:sz w:val="28"/>
          <w:szCs w:val="19"/>
        </w:rPr>
        <w:t xml:space="preserve"> Найбільш </w:t>
      </w:r>
      <w:proofErr w:type="spellStart"/>
      <w:r w:rsidRPr="00535029">
        <w:rPr>
          <w:i/>
          <w:sz w:val="28"/>
          <w:szCs w:val="19"/>
        </w:rPr>
        <w:t>оптичмістична</w:t>
      </w:r>
      <w:proofErr w:type="spellEnd"/>
      <w:r w:rsidRPr="00535029">
        <w:rPr>
          <w:i/>
          <w:sz w:val="28"/>
          <w:szCs w:val="19"/>
        </w:rPr>
        <w:t xml:space="preserve"> оцінка часу</w:t>
      </w:r>
    </w:p>
    <w:p w:rsidR="00535029" w:rsidRDefault="00535029" w:rsidP="00535029">
      <w:pPr>
        <w:autoSpaceDE w:val="0"/>
        <w:autoSpaceDN w:val="0"/>
        <w:adjustRightInd w:val="0"/>
        <w:jc w:val="center"/>
        <w:rPr>
          <w:noProof/>
          <w:lang w:val="ru-RU"/>
        </w:rPr>
      </w:pPr>
    </w:p>
    <w:p w:rsidR="00535029" w:rsidRPr="00B62152" w:rsidRDefault="00535029" w:rsidP="00535029">
      <w:pPr>
        <w:autoSpaceDE w:val="0"/>
        <w:autoSpaceDN w:val="0"/>
        <w:adjustRightInd w:val="0"/>
        <w:ind w:left="-709"/>
        <w:jc w:val="center"/>
        <w:rPr>
          <w:b/>
          <w:sz w:val="28"/>
          <w:szCs w:val="19"/>
        </w:rPr>
      </w:pPr>
      <w:r>
        <w:rPr>
          <w:noProof/>
          <w:lang w:eastAsia="uk-UA"/>
        </w:rPr>
        <w:drawing>
          <wp:inline distT="0" distB="0" distL="0" distR="0">
            <wp:extent cx="6689675" cy="11582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211" cy="115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29" w:rsidRPr="00535029" w:rsidRDefault="00535029" w:rsidP="00535029">
      <w:pPr>
        <w:autoSpaceDE w:val="0"/>
        <w:autoSpaceDN w:val="0"/>
        <w:adjustRightInd w:val="0"/>
        <w:jc w:val="center"/>
        <w:rPr>
          <w:i/>
          <w:sz w:val="28"/>
          <w:szCs w:val="19"/>
        </w:rPr>
      </w:pPr>
      <w:r w:rsidRPr="00535029">
        <w:rPr>
          <w:i/>
          <w:sz w:val="28"/>
          <w:szCs w:val="19"/>
        </w:rPr>
        <w:t xml:space="preserve">Рис </w:t>
      </w:r>
      <w:r>
        <w:rPr>
          <w:i/>
          <w:sz w:val="28"/>
          <w:szCs w:val="19"/>
          <w:lang w:val="ru-RU"/>
        </w:rPr>
        <w:t>2.3.</w:t>
      </w:r>
      <w:r w:rsidRPr="00535029">
        <w:rPr>
          <w:i/>
          <w:sz w:val="28"/>
          <w:szCs w:val="19"/>
        </w:rPr>
        <w:t xml:space="preserve"> Найбільш </w:t>
      </w:r>
      <w:proofErr w:type="spellStart"/>
      <w:r w:rsidRPr="00535029">
        <w:rPr>
          <w:i/>
          <w:sz w:val="28"/>
          <w:szCs w:val="19"/>
        </w:rPr>
        <w:t>песисистична</w:t>
      </w:r>
      <w:proofErr w:type="spellEnd"/>
      <w:r w:rsidRPr="00535029">
        <w:rPr>
          <w:i/>
          <w:sz w:val="28"/>
          <w:szCs w:val="19"/>
        </w:rPr>
        <w:t xml:space="preserve"> оцінка часу</w:t>
      </w:r>
    </w:p>
    <w:p w:rsidR="00535029" w:rsidRDefault="00535029" w:rsidP="00535029">
      <w:pPr>
        <w:autoSpaceDE w:val="0"/>
        <w:autoSpaceDN w:val="0"/>
        <w:adjustRightInd w:val="0"/>
        <w:jc w:val="center"/>
        <w:rPr>
          <w:b/>
          <w:sz w:val="28"/>
          <w:szCs w:val="19"/>
          <w:lang w:val="ru-RU"/>
        </w:rPr>
      </w:pPr>
    </w:p>
    <w:p w:rsidR="00535029" w:rsidRDefault="00535029" w:rsidP="00535029">
      <w:pPr>
        <w:autoSpaceDE w:val="0"/>
        <w:autoSpaceDN w:val="0"/>
        <w:adjustRightInd w:val="0"/>
        <w:jc w:val="center"/>
        <w:rPr>
          <w:b/>
          <w:sz w:val="28"/>
          <w:szCs w:val="19"/>
          <w:lang w:val="ru-RU"/>
        </w:rPr>
      </w:pPr>
      <w:r>
        <w:rPr>
          <w:b/>
          <w:noProof/>
          <w:sz w:val="28"/>
          <w:szCs w:val="19"/>
          <w:lang w:eastAsia="uk-UA"/>
        </w:rPr>
        <w:drawing>
          <wp:inline distT="0" distB="0" distL="0" distR="0">
            <wp:extent cx="6120765" cy="1181311"/>
            <wp:effectExtent l="0" t="0" r="0" b="0"/>
            <wp:docPr id="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29" w:rsidRPr="00535029" w:rsidRDefault="00535029" w:rsidP="00535029">
      <w:pPr>
        <w:autoSpaceDE w:val="0"/>
        <w:autoSpaceDN w:val="0"/>
        <w:adjustRightInd w:val="0"/>
        <w:jc w:val="center"/>
        <w:rPr>
          <w:i/>
          <w:sz w:val="28"/>
          <w:szCs w:val="19"/>
        </w:rPr>
      </w:pPr>
      <w:r>
        <w:rPr>
          <w:i/>
          <w:sz w:val="28"/>
          <w:szCs w:val="19"/>
          <w:lang w:val="ru-RU"/>
        </w:rPr>
        <w:t>Рис.3.</w:t>
      </w:r>
      <w:r w:rsidRPr="00535029">
        <w:rPr>
          <w:i/>
          <w:sz w:val="28"/>
          <w:szCs w:val="19"/>
        </w:rPr>
        <w:t xml:space="preserve"> Ресурси призначені подіями</w:t>
      </w:r>
    </w:p>
    <w:p w:rsidR="00535029" w:rsidRPr="00535029" w:rsidRDefault="00535029" w:rsidP="00535029">
      <w:pPr>
        <w:autoSpaceDE w:val="0"/>
        <w:autoSpaceDN w:val="0"/>
        <w:adjustRightInd w:val="0"/>
        <w:jc w:val="center"/>
        <w:rPr>
          <w:i/>
          <w:sz w:val="28"/>
          <w:szCs w:val="19"/>
          <w:lang w:val="ru-RU"/>
        </w:rPr>
      </w:pPr>
    </w:p>
    <w:p w:rsidR="00535029" w:rsidRDefault="00535029" w:rsidP="00535029">
      <w:pPr>
        <w:autoSpaceDE w:val="0"/>
        <w:autoSpaceDN w:val="0"/>
        <w:adjustRightInd w:val="0"/>
        <w:jc w:val="center"/>
        <w:rPr>
          <w:b/>
          <w:sz w:val="28"/>
          <w:szCs w:val="19"/>
          <w:lang w:val="ru-RU"/>
        </w:rPr>
      </w:pPr>
      <w:r>
        <w:rPr>
          <w:b/>
          <w:noProof/>
          <w:sz w:val="28"/>
          <w:szCs w:val="19"/>
          <w:lang w:eastAsia="uk-UA"/>
        </w:rPr>
        <w:drawing>
          <wp:inline distT="0" distB="0" distL="0" distR="0">
            <wp:extent cx="5372100" cy="23729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22" cy="237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29" w:rsidRDefault="00535029" w:rsidP="00535029">
      <w:pPr>
        <w:autoSpaceDE w:val="0"/>
        <w:autoSpaceDN w:val="0"/>
        <w:adjustRightInd w:val="0"/>
        <w:jc w:val="center"/>
        <w:rPr>
          <w:i/>
          <w:sz w:val="28"/>
          <w:szCs w:val="19"/>
          <w:lang w:val="ru-RU"/>
        </w:rPr>
      </w:pPr>
      <w:r>
        <w:rPr>
          <w:i/>
          <w:sz w:val="28"/>
          <w:szCs w:val="19"/>
          <w:lang w:val="ru-RU"/>
        </w:rPr>
        <w:t xml:space="preserve">Рис. 4.1. </w:t>
      </w:r>
      <w:r w:rsidRPr="00535029">
        <w:rPr>
          <w:i/>
          <w:sz w:val="28"/>
          <w:szCs w:val="19"/>
        </w:rPr>
        <w:t>Розподіл</w:t>
      </w:r>
      <w:r>
        <w:rPr>
          <w:i/>
          <w:sz w:val="28"/>
          <w:szCs w:val="19"/>
          <w:lang w:val="ru-RU"/>
        </w:rPr>
        <w:t xml:space="preserve"> ресурсу 1</w:t>
      </w:r>
    </w:p>
    <w:p w:rsidR="00535029" w:rsidRPr="00535029" w:rsidRDefault="00535029" w:rsidP="00535029">
      <w:pPr>
        <w:autoSpaceDE w:val="0"/>
        <w:autoSpaceDN w:val="0"/>
        <w:adjustRightInd w:val="0"/>
        <w:jc w:val="center"/>
        <w:rPr>
          <w:i/>
          <w:sz w:val="28"/>
          <w:szCs w:val="19"/>
          <w:lang w:val="ru-RU"/>
        </w:rPr>
      </w:pPr>
    </w:p>
    <w:p w:rsidR="00535029" w:rsidRPr="0073066E" w:rsidRDefault="00535029" w:rsidP="00535029">
      <w:pPr>
        <w:autoSpaceDE w:val="0"/>
        <w:autoSpaceDN w:val="0"/>
        <w:adjustRightInd w:val="0"/>
        <w:jc w:val="center"/>
        <w:rPr>
          <w:b/>
          <w:sz w:val="28"/>
          <w:szCs w:val="19"/>
          <w:lang w:val="ru-RU"/>
        </w:rPr>
      </w:pPr>
      <w:bookmarkStart w:id="0" w:name="_GoBack"/>
      <w:r>
        <w:rPr>
          <w:b/>
          <w:noProof/>
          <w:sz w:val="28"/>
          <w:szCs w:val="19"/>
          <w:lang w:eastAsia="uk-UA"/>
        </w:rPr>
        <w:drawing>
          <wp:inline distT="0" distB="0" distL="0" distR="0">
            <wp:extent cx="4810125" cy="21387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33" cy="213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B2407" w:rsidRPr="00535029" w:rsidRDefault="00535029" w:rsidP="006B2407">
      <w:pPr>
        <w:autoSpaceDE w:val="0"/>
        <w:autoSpaceDN w:val="0"/>
        <w:adjustRightInd w:val="0"/>
        <w:jc w:val="center"/>
        <w:rPr>
          <w:i/>
          <w:sz w:val="28"/>
          <w:szCs w:val="19"/>
        </w:rPr>
      </w:pPr>
      <w:r>
        <w:rPr>
          <w:i/>
          <w:sz w:val="28"/>
          <w:szCs w:val="19"/>
        </w:rPr>
        <w:t>Рис.4.2. Розподіл ресурсу 2</w:t>
      </w:r>
    </w:p>
    <w:p w:rsidR="006B2407" w:rsidRDefault="006B2407" w:rsidP="006B2407">
      <w:pPr>
        <w:autoSpaceDE w:val="0"/>
        <w:autoSpaceDN w:val="0"/>
        <w:adjustRightInd w:val="0"/>
        <w:jc w:val="center"/>
        <w:rPr>
          <w:b/>
          <w:sz w:val="28"/>
          <w:szCs w:val="19"/>
        </w:rPr>
      </w:pPr>
    </w:p>
    <w:p w:rsidR="00535029" w:rsidRPr="00B76827" w:rsidRDefault="006B2407" w:rsidP="00535029">
      <w:pPr>
        <w:spacing w:line="360" w:lineRule="auto"/>
        <w:ind w:firstLine="708"/>
        <w:jc w:val="both"/>
        <w:rPr>
          <w:sz w:val="26"/>
          <w:szCs w:val="26"/>
        </w:rPr>
      </w:pPr>
      <w:r w:rsidRPr="006B2407">
        <w:rPr>
          <w:b/>
          <w:i/>
          <w:sz w:val="28"/>
          <w:szCs w:val="28"/>
        </w:rPr>
        <w:t>Висновки:</w:t>
      </w:r>
      <w:r w:rsidRPr="001D7BC1">
        <w:rPr>
          <w:b/>
          <w:sz w:val="28"/>
          <w:szCs w:val="28"/>
        </w:rPr>
        <w:t xml:space="preserve"> </w:t>
      </w:r>
      <w:r w:rsidR="00535029">
        <w:rPr>
          <w:sz w:val="28"/>
          <w:szCs w:val="28"/>
        </w:rPr>
        <w:t>під час виконання даної</w:t>
      </w:r>
      <w:r w:rsidR="00535029" w:rsidRPr="00535029">
        <w:rPr>
          <w:sz w:val="28"/>
          <w:szCs w:val="28"/>
        </w:rPr>
        <w:t xml:space="preserve"> лабораторн</w:t>
      </w:r>
      <w:r w:rsidR="00535029">
        <w:rPr>
          <w:sz w:val="28"/>
          <w:szCs w:val="28"/>
        </w:rPr>
        <w:t>ої</w:t>
      </w:r>
      <w:r w:rsidR="00535029" w:rsidRPr="00535029">
        <w:rPr>
          <w:sz w:val="28"/>
          <w:szCs w:val="28"/>
        </w:rPr>
        <w:t xml:space="preserve"> робот</w:t>
      </w:r>
      <w:r w:rsidR="00535029">
        <w:rPr>
          <w:sz w:val="28"/>
          <w:szCs w:val="28"/>
        </w:rPr>
        <w:t>и</w:t>
      </w:r>
      <w:r w:rsidR="00535029" w:rsidRPr="00535029">
        <w:rPr>
          <w:sz w:val="28"/>
          <w:szCs w:val="28"/>
        </w:rPr>
        <w:t xml:space="preserve"> було досліджено основні параметри мережі PERT та реалізації їх розрахунку в програмному пакеті MS Project 2007</w:t>
      </w:r>
      <w:r w:rsidR="00037C9A">
        <w:rPr>
          <w:sz w:val="28"/>
          <w:szCs w:val="28"/>
        </w:rPr>
        <w:t>, т</w:t>
      </w:r>
      <w:r w:rsidR="00535029" w:rsidRPr="00535029">
        <w:rPr>
          <w:sz w:val="28"/>
          <w:szCs w:val="28"/>
        </w:rPr>
        <w:t>акож було показано розподіл ресурсу для задач проекту.</w:t>
      </w:r>
    </w:p>
    <w:p w:rsidR="008A32A0" w:rsidRPr="00535029" w:rsidRDefault="008A32A0" w:rsidP="006B2407">
      <w:pPr>
        <w:spacing w:line="360" w:lineRule="auto"/>
        <w:ind w:firstLine="708"/>
        <w:jc w:val="both"/>
        <w:rPr>
          <w:b/>
          <w:sz w:val="28"/>
          <w:szCs w:val="19"/>
        </w:rPr>
      </w:pPr>
    </w:p>
    <w:sectPr w:rsidR="008A32A0" w:rsidRPr="00535029" w:rsidSect="00B57E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hames">
    <w:altName w:val="Times New Roman"/>
    <w:charset w:val="CC"/>
    <w:family w:val="roman"/>
    <w:pitch w:val="variable"/>
    <w:sig w:usb0="A0000207" w:usb1="00000000" w:usb2="00000000" w:usb3="00000000" w:csb0="00000115" w:csb1="00000000"/>
  </w:font>
  <w:font w:name="Roboto-Regula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EF3"/>
    <w:multiLevelType w:val="hybridMultilevel"/>
    <w:tmpl w:val="E496CD92"/>
    <w:lvl w:ilvl="0" w:tplc="0422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1">
    <w:nsid w:val="0D495A83"/>
    <w:multiLevelType w:val="hybridMultilevel"/>
    <w:tmpl w:val="258E1A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106F77"/>
    <w:multiLevelType w:val="hybridMultilevel"/>
    <w:tmpl w:val="47482524"/>
    <w:lvl w:ilvl="0" w:tplc="937C7552">
      <w:start w:val="1"/>
      <w:numFmt w:val="bullet"/>
      <w:pStyle w:val="StyleBulitFirstline127cm"/>
      <w:lvlText w:val=""/>
      <w:lvlJc w:val="left"/>
      <w:pPr>
        <w:tabs>
          <w:tab w:val="num" w:pos="737"/>
        </w:tabs>
        <w:ind w:left="0" w:firstLine="6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941B23"/>
    <w:multiLevelType w:val="hybridMultilevel"/>
    <w:tmpl w:val="39865D5A"/>
    <w:lvl w:ilvl="0" w:tplc="A1A84132">
      <w:start w:val="1"/>
      <w:numFmt w:val="decimal"/>
      <w:lvlText w:val="%1."/>
      <w:lvlJc w:val="left"/>
      <w:pPr>
        <w:ind w:left="1768" w:hanging="120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32471702"/>
    <w:multiLevelType w:val="hybridMultilevel"/>
    <w:tmpl w:val="01AEC792"/>
    <w:lvl w:ilvl="0" w:tplc="52E6A838">
      <w:numFmt w:val="bullet"/>
      <w:lvlText w:val="·"/>
      <w:lvlJc w:val="left"/>
      <w:pPr>
        <w:ind w:left="1412" w:hanging="732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4DA87E98"/>
    <w:multiLevelType w:val="hybridMultilevel"/>
    <w:tmpl w:val="8806E1E8"/>
    <w:lvl w:ilvl="0" w:tplc="FC18B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B18D8"/>
    <w:multiLevelType w:val="hybridMultilevel"/>
    <w:tmpl w:val="AC84C920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2A85"/>
    <w:rsid w:val="00037C9A"/>
    <w:rsid w:val="00042618"/>
    <w:rsid w:val="000E6343"/>
    <w:rsid w:val="000F461D"/>
    <w:rsid w:val="001748D7"/>
    <w:rsid w:val="001F5DAF"/>
    <w:rsid w:val="00300F68"/>
    <w:rsid w:val="003E7ACB"/>
    <w:rsid w:val="00535029"/>
    <w:rsid w:val="00600D9B"/>
    <w:rsid w:val="006B2407"/>
    <w:rsid w:val="007070B0"/>
    <w:rsid w:val="008A32A0"/>
    <w:rsid w:val="008D046D"/>
    <w:rsid w:val="0090357E"/>
    <w:rsid w:val="00935946"/>
    <w:rsid w:val="009A6822"/>
    <w:rsid w:val="00B21A8C"/>
    <w:rsid w:val="00B3032F"/>
    <w:rsid w:val="00B57E7D"/>
    <w:rsid w:val="00B97B9D"/>
    <w:rsid w:val="00C25122"/>
    <w:rsid w:val="00C352FB"/>
    <w:rsid w:val="00C71BD4"/>
    <w:rsid w:val="00D24199"/>
    <w:rsid w:val="00D25702"/>
    <w:rsid w:val="00D61D0D"/>
    <w:rsid w:val="00E02A85"/>
    <w:rsid w:val="00E73183"/>
    <w:rsid w:val="00EE5C2F"/>
    <w:rsid w:val="00F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A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A8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F461D"/>
    <w:pPr>
      <w:ind w:left="720"/>
      <w:contextualSpacing/>
    </w:pPr>
  </w:style>
  <w:style w:type="paragraph" w:customStyle="1" w:styleId="Number">
    <w:name w:val="Number"/>
    <w:basedOn w:val="a"/>
    <w:rsid w:val="00EE5C2F"/>
    <w:pPr>
      <w:overflowPunct w:val="0"/>
      <w:autoSpaceDE w:val="0"/>
      <w:autoSpaceDN w:val="0"/>
      <w:adjustRightInd w:val="0"/>
      <w:spacing w:line="360" w:lineRule="auto"/>
      <w:ind w:firstLine="737"/>
      <w:jc w:val="both"/>
      <w:textAlignment w:val="baseline"/>
    </w:pPr>
    <w:rPr>
      <w:rFonts w:ascii="Thames" w:hAnsi="Thames"/>
      <w:noProof/>
      <w:szCs w:val="20"/>
      <w:lang w:eastAsia="en-US"/>
    </w:rPr>
  </w:style>
  <w:style w:type="character" w:customStyle="1" w:styleId="Bold">
    <w:name w:val="Bold"/>
    <w:basedOn w:val="a0"/>
    <w:rsid w:val="00EE5C2F"/>
    <w:rPr>
      <w:rFonts w:ascii="Times New Roman" w:hAnsi="Times New Roman"/>
      <w:b/>
    </w:rPr>
  </w:style>
  <w:style w:type="paragraph" w:customStyle="1" w:styleId="Bulit">
    <w:name w:val="Bulit"/>
    <w:basedOn w:val="a"/>
    <w:rsid w:val="00535029"/>
    <w:pPr>
      <w:spacing w:line="360" w:lineRule="auto"/>
      <w:ind w:left="720" w:hanging="360"/>
      <w:jc w:val="both"/>
    </w:pPr>
    <w:rPr>
      <w:sz w:val="28"/>
      <w:lang w:eastAsia="en-US"/>
    </w:rPr>
  </w:style>
  <w:style w:type="paragraph" w:customStyle="1" w:styleId="StyleBulitFirstline127cm">
    <w:name w:val="Style Bulit + First line:  127 cm"/>
    <w:basedOn w:val="Bulit"/>
    <w:rsid w:val="00535029"/>
    <w:pPr>
      <w:numPr>
        <w:numId w:val="7"/>
      </w:numPr>
      <w:ind w:firstLine="7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7A611-3553-4226-A946-16394FEE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2314</Words>
  <Characters>1320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2018-03-18T23:12:00Z</cp:lastPrinted>
  <dcterms:created xsi:type="dcterms:W3CDTF">2018-03-21T23:42:00Z</dcterms:created>
  <dcterms:modified xsi:type="dcterms:W3CDTF">2018-04-05T01:17:00Z</dcterms:modified>
</cp:coreProperties>
</file>