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moneymax-pełny-model-etapowy"/>
    <w:p>
      <w:pPr>
        <w:pStyle w:val="Heading1"/>
      </w:pPr>
      <w:r>
        <w:t xml:space="preserve">MONEYMAX — PEŁNY MODEL ETAPOWY</w:t>
      </w:r>
    </w:p>
    <w:p>
      <w:pPr>
        <w:pStyle w:val="FirstParagraph"/>
      </w:pPr>
      <w:r>
        <w:t xml:space="preserve">Ten dokument definiuje</w:t>
      </w:r>
      <w:r>
        <w:t xml:space="preserve"> </w:t>
      </w:r>
      <w:r>
        <w:rPr>
          <w:b/>
          <w:bCs/>
        </w:rPr>
        <w:t xml:space="preserve">moneymax</w:t>
      </w:r>
      <w:r>
        <w:t xml:space="preserve"> </w:t>
      </w:r>
      <w:r>
        <w:t xml:space="preserve">jako</w:t>
      </w:r>
      <w:r>
        <w:t xml:space="preserve"> </w:t>
      </w:r>
      <w:r>
        <w:rPr>
          <w:b/>
          <w:bCs/>
        </w:rPr>
        <w:t xml:space="preserve">długoterminowy proces akumulacji kapitału, kompetencji i dźwigni</w:t>
      </w:r>
      <w:r>
        <w:t xml:space="preserve">, prowadzący do wysokiego poziomu kontroli nad zasobami, infrastrukturą i czasem. Nie jest to motywacyjna narracja ani poradnik finansowy, lecz</w:t>
      </w:r>
      <w:r>
        <w:t xml:space="preserve"> </w:t>
      </w:r>
      <w:r>
        <w:rPr>
          <w:b/>
          <w:bCs/>
        </w:rPr>
        <w:t xml:space="preserve">model strategiczny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definicja-moneymax"/>
    <w:p>
      <w:pPr>
        <w:pStyle w:val="Heading2"/>
      </w:pPr>
      <w:r>
        <w:t xml:space="preserve">DEFINICJA MONEYMAX</w:t>
      </w:r>
    </w:p>
    <w:p>
      <w:pPr>
        <w:pStyle w:val="FirstParagraph"/>
      </w:pPr>
      <w:r>
        <w:rPr>
          <w:b/>
          <w:bCs/>
        </w:rPr>
        <w:t xml:space="preserve">Moneymax</w:t>
      </w:r>
      <w:r>
        <w:t xml:space="preserve"> </w:t>
      </w:r>
      <w:r>
        <w:t xml:space="preserve">= systematyczna maksymalizacja:</w:t>
      </w:r>
      <w:r>
        <w:t xml:space="preserve"> </w:t>
      </w:r>
      <w:r>
        <w:t xml:space="preserve">- kapitału finansowego,</w:t>
      </w:r>
      <w:r>
        <w:t xml:space="preserve"> </w:t>
      </w:r>
      <w:r>
        <w:t xml:space="preserve">- kapitału ludzkiego,</w:t>
      </w:r>
      <w:r>
        <w:t xml:space="preserve"> </w:t>
      </w:r>
      <w:r>
        <w:t xml:space="preserve">- kapitału strukturalnego (systemy, IP, infrastruktura),</w:t>
      </w:r>
    </w:p>
    <w:p>
      <w:pPr>
        <w:pStyle w:val="BodyText"/>
      </w:pPr>
      <w:r>
        <w:t xml:space="preserve">przy zachowaniu</w:t>
      </w:r>
      <w:r>
        <w:t xml:space="preserve"> </w:t>
      </w:r>
      <w:r>
        <w:rPr>
          <w:b/>
          <w:bCs/>
        </w:rPr>
        <w:t xml:space="preserve">racjonalnej kolejności etapów</w:t>
      </w:r>
      <w:r>
        <w:t xml:space="preserve">.</w:t>
      </w:r>
    </w:p>
    <w:p>
      <w:pPr>
        <w:pStyle w:val="BodyText"/>
      </w:pPr>
      <w:r>
        <w:t xml:space="preserve">Proces ten trwa</w:t>
      </w:r>
      <w:r>
        <w:t xml:space="preserve"> </w:t>
      </w:r>
      <w:r>
        <w:rPr>
          <w:b/>
          <w:bCs/>
        </w:rPr>
        <w:t xml:space="preserve">całe życie</w:t>
      </w:r>
      <w:r>
        <w:t xml:space="preserve">, a jego zakończeniem funkcjonalnym jest osiągnięcie poziomu kapitału, przy którym dalsza optymalizacja ma charakter alokacyjny, a nie egzystencjalny.</w:t>
      </w:r>
    </w:p>
    <w:p>
      <w:r>
        <w:pict>
          <v:rect style="width:0;height:1.5pt" o:hralign="center" o:hrstd="t" o:hr="t"/>
        </w:pict>
      </w:r>
    </w:p>
    <w:bookmarkEnd w:id="20"/>
    <w:bookmarkStart w:id="25" w:name="pre-early-game"/>
    <w:p>
      <w:pPr>
        <w:pStyle w:val="Heading2"/>
      </w:pPr>
      <w:r>
        <w:t xml:space="preserve">Pre-Early game:</w:t>
      </w:r>
    </w:p>
    <w:bookmarkStart w:id="21" w:name="cel"/>
    <w:p>
      <w:pPr>
        <w:pStyle w:val="Heading3"/>
      </w:pPr>
      <w:r>
        <w:t xml:space="preserve">Cel</w:t>
      </w:r>
    </w:p>
    <w:p>
      <w:pPr>
        <w:pStyle w:val="FirstParagraph"/>
      </w:pPr>
      <w:r>
        <w:t xml:space="preserve">Stabilizacja biologiczna, poznawcza i logistyczna umożliwiająca grę kapitałową.</w:t>
      </w:r>
    </w:p>
    <w:bookmarkEnd w:id="21"/>
    <w:bookmarkStart w:id="22" w:name="charakterystyka"/>
    <w:p>
      <w:pPr>
        <w:pStyle w:val="Heading3"/>
      </w:pPr>
      <w:r>
        <w:t xml:space="preserve">Charakterystyka</w:t>
      </w:r>
    </w:p>
    <w:p>
      <w:pPr>
        <w:pStyle w:val="Compact"/>
        <w:numPr>
          <w:ilvl w:val="0"/>
          <w:numId w:val="1001"/>
        </w:numPr>
      </w:pPr>
      <w:r>
        <w:t xml:space="preserve">brak realnej akumulacji kapitału,</w:t>
      </w:r>
    </w:p>
    <w:p>
      <w:pPr>
        <w:pStyle w:val="Compact"/>
        <w:numPr>
          <w:ilvl w:val="0"/>
          <w:numId w:val="1001"/>
        </w:numPr>
      </w:pPr>
      <w:r>
        <w:t xml:space="preserve">wysoka entropia życiowa,</w:t>
      </w:r>
    </w:p>
    <w:p>
      <w:pPr>
        <w:pStyle w:val="Compact"/>
        <w:numPr>
          <w:ilvl w:val="0"/>
          <w:numId w:val="1001"/>
        </w:numPr>
      </w:pPr>
      <w:r>
        <w:t xml:space="preserve">dominacja strat energii.</w:t>
      </w:r>
    </w:p>
    <w:bookmarkEnd w:id="22"/>
    <w:bookmarkStart w:id="23" w:name="zakres"/>
    <w:p>
      <w:pPr>
        <w:pStyle w:val="Heading3"/>
      </w:pPr>
      <w:r>
        <w:t xml:space="preserve">Zakres</w:t>
      </w:r>
    </w:p>
    <w:p>
      <w:pPr>
        <w:pStyle w:val="Compact"/>
        <w:numPr>
          <w:ilvl w:val="0"/>
          <w:numId w:val="1002"/>
        </w:numPr>
      </w:pPr>
      <w:r>
        <w:t xml:space="preserve">sen, zdrowie metaboliczne,</w:t>
      </w:r>
    </w:p>
    <w:p>
      <w:pPr>
        <w:pStyle w:val="Compact"/>
        <w:numPr>
          <w:ilvl w:val="0"/>
          <w:numId w:val="1002"/>
        </w:numPr>
      </w:pPr>
      <w:r>
        <w:t xml:space="preserve">podstawowe systemy życia (czas, zadania, budżet),</w:t>
      </w:r>
    </w:p>
    <w:p>
      <w:pPr>
        <w:pStyle w:val="Compact"/>
        <w:numPr>
          <w:ilvl w:val="0"/>
          <w:numId w:val="1002"/>
        </w:numPr>
      </w:pPr>
      <w:r>
        <w:t xml:space="preserve">odbudowa zdolności koncentracji.</w:t>
      </w:r>
    </w:p>
    <w:bookmarkEnd w:id="23"/>
    <w:bookmarkStart w:id="24" w:name="kryterium-ukończenia"/>
    <w:p>
      <w:pPr>
        <w:pStyle w:val="Heading3"/>
      </w:pPr>
      <w:r>
        <w:t xml:space="preserve">Kryterium ukończenia</w:t>
      </w:r>
    </w:p>
    <w:p>
      <w:pPr>
        <w:pStyle w:val="FirstParagraph"/>
      </w:pPr>
      <w:r>
        <w:t xml:space="preserve">Zdolność do codziennej, stabilnej pracy poznawczej przez ≥6–8 tygodni.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early-game-faza-1"/>
    <w:p>
      <w:pPr>
        <w:pStyle w:val="Heading2"/>
      </w:pPr>
      <w:r>
        <w:t xml:space="preserve">Early game Faza 1:</w:t>
      </w:r>
    </w:p>
    <w:bookmarkStart w:id="26" w:name="cel-1"/>
    <w:p>
      <w:pPr>
        <w:pStyle w:val="Heading3"/>
      </w:pPr>
      <w:r>
        <w:t xml:space="preserve">Cel</w:t>
      </w:r>
    </w:p>
    <w:p>
      <w:pPr>
        <w:pStyle w:val="FirstParagraph"/>
      </w:pPr>
      <w:r>
        <w:t xml:space="preserve">Zbudowanie rzadkich, wymienialnych rynkowo kompetencji.</w:t>
      </w:r>
    </w:p>
    <w:bookmarkEnd w:id="26"/>
    <w:bookmarkStart w:id="27" w:name="charakterystyka-1"/>
    <w:p>
      <w:pPr>
        <w:pStyle w:val="Heading3"/>
      </w:pPr>
      <w:r>
        <w:t xml:space="preserve">Charakterystyka</w:t>
      </w:r>
    </w:p>
    <w:p>
      <w:pPr>
        <w:pStyle w:val="Compact"/>
        <w:numPr>
          <w:ilvl w:val="0"/>
          <w:numId w:val="1003"/>
        </w:numPr>
      </w:pPr>
      <w:r>
        <w:t xml:space="preserve">niski kapitał finansowy,</w:t>
      </w:r>
    </w:p>
    <w:p>
      <w:pPr>
        <w:pStyle w:val="Compact"/>
        <w:numPr>
          <w:ilvl w:val="0"/>
          <w:numId w:val="1003"/>
        </w:numPr>
      </w:pPr>
      <w:r>
        <w:t xml:space="preserve">szybki wzrost kapitału ludzkiego,</w:t>
      </w:r>
    </w:p>
    <w:p>
      <w:pPr>
        <w:pStyle w:val="Compact"/>
        <w:numPr>
          <w:ilvl w:val="0"/>
          <w:numId w:val="1003"/>
        </w:numPr>
      </w:pPr>
      <w:r>
        <w:t xml:space="preserve">brak skali.</w:t>
      </w:r>
    </w:p>
    <w:bookmarkEnd w:id="27"/>
    <w:bookmarkStart w:id="28" w:name="kluczowe-działania"/>
    <w:p>
      <w:pPr>
        <w:pStyle w:val="Heading3"/>
      </w:pPr>
      <w:r>
        <w:t xml:space="preserve">Kluczowe działania</w:t>
      </w:r>
    </w:p>
    <w:p>
      <w:pPr>
        <w:pStyle w:val="Compact"/>
        <w:numPr>
          <w:ilvl w:val="0"/>
          <w:numId w:val="1004"/>
        </w:numPr>
      </w:pPr>
      <w:r>
        <w:t xml:space="preserve">nauka jednej głównej domeny technicznej,</w:t>
      </w:r>
    </w:p>
    <w:p>
      <w:pPr>
        <w:pStyle w:val="Compact"/>
        <w:numPr>
          <w:ilvl w:val="0"/>
          <w:numId w:val="1004"/>
        </w:numPr>
      </w:pPr>
      <w:r>
        <w:t xml:space="preserve">tworzenie realnych artefaktów (projekty, systemy, produkty demonstracyjne),</w:t>
      </w:r>
    </w:p>
    <w:p>
      <w:pPr>
        <w:pStyle w:val="Compact"/>
        <w:numPr>
          <w:ilvl w:val="0"/>
          <w:numId w:val="1004"/>
        </w:numPr>
      </w:pPr>
      <w:r>
        <w:t xml:space="preserve">minimalizacja rozproszeń poznawczych.</w:t>
      </w:r>
    </w:p>
    <w:bookmarkEnd w:id="28"/>
    <w:bookmarkStart w:id="29" w:name="kryterium-ukończenia-1"/>
    <w:p>
      <w:pPr>
        <w:pStyle w:val="Heading3"/>
      </w:pPr>
      <w:r>
        <w:t xml:space="preserve">Kryterium ukończenia</w:t>
      </w:r>
    </w:p>
    <w:p>
      <w:pPr>
        <w:pStyle w:val="FirstParagraph"/>
      </w:pPr>
      <w:r>
        <w:t xml:space="preserve">Możliwość jasnego uzasadnienia rynkowej wartości własnych kompetencji.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early-game-faza-2"/>
    <w:p>
      <w:pPr>
        <w:pStyle w:val="Heading2"/>
      </w:pPr>
      <w:r>
        <w:t xml:space="preserve">Early game Faza 2:</w:t>
      </w:r>
    </w:p>
    <w:bookmarkStart w:id="31" w:name="cel-2"/>
    <w:p>
      <w:pPr>
        <w:pStyle w:val="Heading3"/>
      </w:pPr>
      <w:r>
        <w:t xml:space="preserve">Cel</w:t>
      </w:r>
    </w:p>
    <w:p>
      <w:pPr>
        <w:pStyle w:val="FirstParagraph"/>
      </w:pPr>
      <w:r>
        <w:t xml:space="preserve">Zamiana kompetencji w powtarzalny cashflow.</w:t>
      </w:r>
    </w:p>
    <w:bookmarkEnd w:id="31"/>
    <w:bookmarkStart w:id="32" w:name="charakterystyka-2"/>
    <w:p>
      <w:pPr>
        <w:pStyle w:val="Heading3"/>
      </w:pPr>
      <w:r>
        <w:t xml:space="preserve">Charakterystyka</w:t>
      </w:r>
    </w:p>
    <w:p>
      <w:pPr>
        <w:pStyle w:val="Compact"/>
        <w:numPr>
          <w:ilvl w:val="0"/>
          <w:numId w:val="1005"/>
        </w:numPr>
      </w:pPr>
      <w:r>
        <w:t xml:space="preserve">dochód zależny od czasu pracy,</w:t>
      </w:r>
    </w:p>
    <w:p>
      <w:pPr>
        <w:pStyle w:val="Compact"/>
        <w:numPr>
          <w:ilvl w:val="0"/>
          <w:numId w:val="1005"/>
        </w:numPr>
      </w:pPr>
      <w:r>
        <w:t xml:space="preserve">intensywna nauka rynku,</w:t>
      </w:r>
    </w:p>
    <w:p>
      <w:pPr>
        <w:pStyle w:val="Compact"/>
        <w:numPr>
          <w:ilvl w:val="0"/>
          <w:numId w:val="1005"/>
        </w:numPr>
      </w:pPr>
      <w:r>
        <w:t xml:space="preserve">brak pasywności.</w:t>
      </w:r>
    </w:p>
    <w:bookmarkEnd w:id="32"/>
    <w:bookmarkStart w:id="33" w:name="kluczowe-działania-1"/>
    <w:p>
      <w:pPr>
        <w:pStyle w:val="Heading3"/>
      </w:pPr>
      <w:r>
        <w:t xml:space="preserve">Kluczowe działania</w:t>
      </w:r>
    </w:p>
    <w:p>
      <w:pPr>
        <w:pStyle w:val="Compact"/>
        <w:numPr>
          <w:ilvl w:val="0"/>
          <w:numId w:val="1006"/>
        </w:numPr>
      </w:pPr>
      <w:r>
        <w:t xml:space="preserve">freelancing, kontrakty, usługi B2B,</w:t>
      </w:r>
    </w:p>
    <w:p>
      <w:pPr>
        <w:pStyle w:val="Compact"/>
        <w:numPr>
          <w:ilvl w:val="0"/>
          <w:numId w:val="1006"/>
        </w:numPr>
      </w:pPr>
      <w:r>
        <w:t xml:space="preserve">nauka wyceny, negocjacji i zarządzania klientem,</w:t>
      </w:r>
    </w:p>
    <w:p>
      <w:pPr>
        <w:pStyle w:val="Compact"/>
        <w:numPr>
          <w:ilvl w:val="0"/>
          <w:numId w:val="1006"/>
        </w:numPr>
      </w:pPr>
      <w:r>
        <w:t xml:space="preserve">budowanie reputacji.</w:t>
      </w:r>
    </w:p>
    <w:bookmarkEnd w:id="33"/>
    <w:bookmarkStart w:id="34" w:name="kryterium-ukończenia-2"/>
    <w:p>
      <w:pPr>
        <w:pStyle w:val="Heading3"/>
      </w:pPr>
      <w:r>
        <w:t xml:space="preserve">Kryterium ukończenia</w:t>
      </w:r>
    </w:p>
    <w:p>
      <w:pPr>
        <w:pStyle w:val="FirstParagraph"/>
      </w:pPr>
      <w:r>
        <w:t xml:space="preserve">Stabilny, powtarzalny dochód oraz nadwyżka poznawcza i finansowa.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early-game-faza-3"/>
    <w:p>
      <w:pPr>
        <w:pStyle w:val="Heading2"/>
      </w:pPr>
      <w:r>
        <w:t xml:space="preserve">Early game Faza 3:</w:t>
      </w:r>
    </w:p>
    <w:bookmarkStart w:id="36" w:name="cel-3"/>
    <w:p>
      <w:pPr>
        <w:pStyle w:val="Heading3"/>
      </w:pPr>
      <w:r>
        <w:t xml:space="preserve">Cel</w:t>
      </w:r>
    </w:p>
    <w:p>
      <w:pPr>
        <w:pStyle w:val="FirstParagraph"/>
      </w:pPr>
      <w:r>
        <w:t xml:space="preserve">Wprowadzenie pierwszej nieliniowości między pracą a wynikiem.</w:t>
      </w:r>
    </w:p>
    <w:bookmarkEnd w:id="36"/>
    <w:bookmarkStart w:id="37" w:name="charakterystyka-3"/>
    <w:p>
      <w:pPr>
        <w:pStyle w:val="Heading3"/>
      </w:pPr>
      <w:r>
        <w:t xml:space="preserve">Charakterystyka</w:t>
      </w:r>
    </w:p>
    <w:p>
      <w:pPr>
        <w:pStyle w:val="Compact"/>
        <w:numPr>
          <w:ilvl w:val="0"/>
          <w:numId w:val="1007"/>
        </w:numPr>
      </w:pPr>
      <w:r>
        <w:t xml:space="preserve">nadal praca operacyjna,</w:t>
      </w:r>
    </w:p>
    <w:p>
      <w:pPr>
        <w:pStyle w:val="Compact"/>
        <w:numPr>
          <w:ilvl w:val="0"/>
          <w:numId w:val="1007"/>
        </w:numPr>
      </w:pPr>
      <w:r>
        <w:t xml:space="preserve">równoległe projektowanie systemów,</w:t>
      </w:r>
    </w:p>
    <w:p>
      <w:pPr>
        <w:pStyle w:val="Compact"/>
        <w:numPr>
          <w:ilvl w:val="0"/>
          <w:numId w:val="1007"/>
        </w:numPr>
      </w:pPr>
      <w:r>
        <w:t xml:space="preserve">przygotowanie do skalowania.</w:t>
      </w:r>
    </w:p>
    <w:bookmarkEnd w:id="37"/>
    <w:bookmarkStart w:id="38" w:name="typy-dźwigni"/>
    <w:p>
      <w:pPr>
        <w:pStyle w:val="Heading3"/>
      </w:pPr>
      <w:r>
        <w:t xml:space="preserve">Typy dźwigni</w:t>
      </w:r>
    </w:p>
    <w:p>
      <w:pPr>
        <w:pStyle w:val="Compact"/>
        <w:numPr>
          <w:ilvl w:val="0"/>
          <w:numId w:val="1008"/>
        </w:numPr>
      </w:pPr>
      <w:r>
        <w:t xml:space="preserve">produkt / IP,</w:t>
      </w:r>
    </w:p>
    <w:p>
      <w:pPr>
        <w:pStyle w:val="Compact"/>
        <w:numPr>
          <w:ilvl w:val="0"/>
          <w:numId w:val="1008"/>
        </w:numPr>
      </w:pPr>
      <w:r>
        <w:t xml:space="preserve">systemy i automatyzacja,</w:t>
      </w:r>
    </w:p>
    <w:p>
      <w:pPr>
        <w:pStyle w:val="Compact"/>
        <w:numPr>
          <w:ilvl w:val="0"/>
          <w:numId w:val="1008"/>
        </w:numPr>
      </w:pPr>
      <w:r>
        <w:t xml:space="preserve">infrastruktura,</w:t>
      </w:r>
    </w:p>
    <w:p>
      <w:pPr>
        <w:pStyle w:val="Compact"/>
        <w:numPr>
          <w:ilvl w:val="0"/>
          <w:numId w:val="1008"/>
        </w:numPr>
      </w:pPr>
      <w:r>
        <w:t xml:space="preserve">pierwsze eksperymenty z delegowaniem.</w:t>
      </w:r>
    </w:p>
    <w:bookmarkEnd w:id="38"/>
    <w:bookmarkStart w:id="39" w:name="kryterium-ukończenia-3"/>
    <w:p>
      <w:pPr>
        <w:pStyle w:val="Heading3"/>
      </w:pPr>
      <w:r>
        <w:t xml:space="preserve">Kryterium ukończenia</w:t>
      </w:r>
    </w:p>
    <w:p>
      <w:pPr>
        <w:pStyle w:val="FirstParagraph"/>
      </w:pPr>
      <w:r>
        <w:t xml:space="preserve">Możliwość wzrostu efektów bez proporcjonalnego wzrostu pracy.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mid-game"/>
    <w:p>
      <w:pPr>
        <w:pStyle w:val="Heading2"/>
      </w:pPr>
      <w:r>
        <w:t xml:space="preserve">Mid game:</w:t>
      </w:r>
    </w:p>
    <w:bookmarkStart w:id="41" w:name="cel-4"/>
    <w:p>
      <w:pPr>
        <w:pStyle w:val="Heading3"/>
      </w:pPr>
      <w:r>
        <w:t xml:space="preserve">Cel</w:t>
      </w:r>
    </w:p>
    <w:p>
      <w:pPr>
        <w:pStyle w:val="FirstParagraph"/>
      </w:pPr>
      <w:r>
        <w:t xml:space="preserve">Skalowanie istniejących dźwigni.</w:t>
      </w:r>
    </w:p>
    <w:bookmarkEnd w:id="41"/>
    <w:bookmarkStart w:id="42" w:name="charakterystyka-4"/>
    <w:p>
      <w:pPr>
        <w:pStyle w:val="Heading3"/>
      </w:pPr>
      <w:r>
        <w:t xml:space="preserve">Charakterystyka</w:t>
      </w:r>
    </w:p>
    <w:p>
      <w:pPr>
        <w:pStyle w:val="Compact"/>
        <w:numPr>
          <w:ilvl w:val="0"/>
          <w:numId w:val="1009"/>
        </w:numPr>
      </w:pPr>
      <w:r>
        <w:t xml:space="preserve">wzrost nieliniowy,</w:t>
      </w:r>
    </w:p>
    <w:p>
      <w:pPr>
        <w:pStyle w:val="Compact"/>
        <w:numPr>
          <w:ilvl w:val="0"/>
          <w:numId w:val="1009"/>
        </w:numPr>
      </w:pPr>
      <w:r>
        <w:t xml:space="preserve">dominacja decyzji strategicznych nad operacyjnymi,</w:t>
      </w:r>
    </w:p>
    <w:p>
      <w:pPr>
        <w:pStyle w:val="Compact"/>
        <w:numPr>
          <w:ilvl w:val="0"/>
          <w:numId w:val="1009"/>
        </w:numPr>
      </w:pPr>
      <w:r>
        <w:t xml:space="preserve">budowa organizacji lub systemów wysokiej przepustowości.</w:t>
      </w:r>
    </w:p>
    <w:bookmarkEnd w:id="42"/>
    <w:bookmarkStart w:id="43" w:name="kluczowe-działania-2"/>
    <w:p>
      <w:pPr>
        <w:pStyle w:val="Heading3"/>
      </w:pPr>
      <w:r>
        <w:t xml:space="preserve">Kluczowe działania</w:t>
      </w:r>
    </w:p>
    <w:p>
      <w:pPr>
        <w:pStyle w:val="Compact"/>
        <w:numPr>
          <w:ilvl w:val="0"/>
          <w:numId w:val="1010"/>
        </w:numPr>
      </w:pPr>
      <w:r>
        <w:t xml:space="preserve">rozwój zespołów,</w:t>
      </w:r>
    </w:p>
    <w:p>
      <w:pPr>
        <w:pStyle w:val="Compact"/>
        <w:numPr>
          <w:ilvl w:val="0"/>
          <w:numId w:val="1010"/>
        </w:numPr>
      </w:pPr>
      <w:r>
        <w:t xml:space="preserve">ekspansja produktowa lub rynkowa,</w:t>
      </w:r>
    </w:p>
    <w:p>
      <w:pPr>
        <w:pStyle w:val="Compact"/>
        <w:numPr>
          <w:ilvl w:val="0"/>
          <w:numId w:val="1010"/>
        </w:numPr>
      </w:pPr>
      <w:r>
        <w:t xml:space="preserve">optymalizacja struktur.</w:t>
      </w:r>
    </w:p>
    <w:bookmarkEnd w:id="43"/>
    <w:bookmarkStart w:id="44" w:name="kryterium-ukończenia-4"/>
    <w:p>
      <w:pPr>
        <w:pStyle w:val="Heading3"/>
      </w:pPr>
      <w:r>
        <w:t xml:space="preserve">Kryterium ukończenia</w:t>
      </w:r>
    </w:p>
    <w:p>
      <w:pPr>
        <w:pStyle w:val="FirstParagraph"/>
      </w:pPr>
      <w:r>
        <w:t xml:space="preserve">Dochód i wpływ niezależne od osobistej obecności.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late-game"/>
    <w:p>
      <w:pPr>
        <w:pStyle w:val="Heading2"/>
      </w:pPr>
      <w:r>
        <w:t xml:space="preserve">Late game</w:t>
      </w:r>
    </w:p>
    <w:bookmarkStart w:id="46" w:name="cel-5"/>
    <w:p>
      <w:pPr>
        <w:pStyle w:val="Heading3"/>
      </w:pPr>
      <w:r>
        <w:t xml:space="preserve">Cel</w:t>
      </w:r>
    </w:p>
    <w:p>
      <w:pPr>
        <w:pStyle w:val="FirstParagraph"/>
      </w:pPr>
      <w:r>
        <w:t xml:space="preserve">Długoterminowa kontrola nad kapitałem i zasobami.</w:t>
      </w:r>
    </w:p>
    <w:bookmarkEnd w:id="46"/>
    <w:bookmarkStart w:id="47" w:name="charakterystyka-5"/>
    <w:p>
      <w:pPr>
        <w:pStyle w:val="Heading3"/>
      </w:pPr>
      <w:r>
        <w:t xml:space="preserve">Charakterystyka</w:t>
      </w:r>
    </w:p>
    <w:p>
      <w:pPr>
        <w:pStyle w:val="Compact"/>
        <w:numPr>
          <w:ilvl w:val="0"/>
          <w:numId w:val="1011"/>
        </w:numPr>
      </w:pPr>
      <w:r>
        <w:t xml:space="preserve">ochrona majątku,</w:t>
      </w:r>
    </w:p>
    <w:p>
      <w:pPr>
        <w:pStyle w:val="Compact"/>
        <w:numPr>
          <w:ilvl w:val="0"/>
          <w:numId w:val="1011"/>
        </w:numPr>
      </w:pPr>
      <w:r>
        <w:t xml:space="preserve">alokacja kapitału,</w:t>
      </w:r>
    </w:p>
    <w:p>
      <w:pPr>
        <w:pStyle w:val="Compact"/>
        <w:numPr>
          <w:ilvl w:val="0"/>
          <w:numId w:val="1011"/>
        </w:numPr>
      </w:pPr>
      <w:r>
        <w:t xml:space="preserve">niska operacyjność.</w:t>
      </w:r>
    </w:p>
    <w:bookmarkEnd w:id="47"/>
    <w:bookmarkStart w:id="48" w:name="kluczowe-działania-3"/>
    <w:p>
      <w:pPr>
        <w:pStyle w:val="Heading3"/>
      </w:pPr>
      <w:r>
        <w:t xml:space="preserve">Kluczowe działania</w:t>
      </w:r>
    </w:p>
    <w:p>
      <w:pPr>
        <w:pStyle w:val="Compact"/>
        <w:numPr>
          <w:ilvl w:val="0"/>
          <w:numId w:val="1012"/>
        </w:numPr>
      </w:pPr>
      <w:r>
        <w:t xml:space="preserve">inwestycje infrastrukturalne,</w:t>
      </w:r>
    </w:p>
    <w:p>
      <w:pPr>
        <w:pStyle w:val="Compact"/>
        <w:numPr>
          <w:ilvl w:val="0"/>
          <w:numId w:val="1012"/>
        </w:numPr>
      </w:pPr>
      <w:r>
        <w:t xml:space="preserve">zarządzanie portfelem,</w:t>
      </w:r>
    </w:p>
    <w:p>
      <w:pPr>
        <w:pStyle w:val="Compact"/>
        <w:numPr>
          <w:ilvl w:val="0"/>
          <w:numId w:val="1012"/>
        </w:numPr>
      </w:pPr>
      <w:r>
        <w:t xml:space="preserve">decyzje alokacyjne o dużej skali.</w:t>
      </w:r>
    </w:p>
    <w:bookmarkEnd w:id="48"/>
    <w:bookmarkStart w:id="49" w:name="kryterium"/>
    <w:p>
      <w:pPr>
        <w:pStyle w:val="Heading3"/>
      </w:pPr>
      <w:r>
        <w:t xml:space="preserve">Kryterium</w:t>
      </w:r>
    </w:p>
    <w:p>
      <w:pPr>
        <w:pStyle w:val="FirstParagraph"/>
      </w:pPr>
      <w:r>
        <w:t xml:space="preserve">Autonomia czasowa i decyzyjna.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zasada-nadrzędna"/>
    <w:p>
      <w:pPr>
        <w:pStyle w:val="Heading2"/>
      </w:pPr>
      <w:r>
        <w:t xml:space="preserve">ZASADA NADRZĘDNA</w:t>
      </w:r>
    </w:p>
    <w:p>
      <w:pPr>
        <w:pStyle w:val="BlockText"/>
      </w:pPr>
      <w:r>
        <w:t xml:space="preserve">Etapy są</w:t>
      </w:r>
      <w:r>
        <w:t xml:space="preserve"> </w:t>
      </w:r>
      <w:r>
        <w:rPr>
          <w:b/>
          <w:bCs/>
        </w:rPr>
        <w:t xml:space="preserve">nierozłączne i nienegocjowalne</w:t>
      </w:r>
      <w:r>
        <w:t xml:space="preserve"> </w:t>
      </w:r>
      <w:r>
        <w:t xml:space="preserve">— pominięcie któregoś prowadzi do niestabilności systemu.</w:t>
      </w:r>
    </w:p>
    <w:p>
      <w:r>
        <w:pict>
          <v:rect style="width:0;height:1.5pt" o:hralign="center" o:hrstd="t" o:hr="t"/>
        </w:pict>
      </w:r>
    </w:p>
    <w:bookmarkEnd w:id="51"/>
    <w:bookmarkStart w:id="52" w:name="jednozdaniowe-podsumowanie"/>
    <w:p>
      <w:pPr>
        <w:pStyle w:val="Heading2"/>
      </w:pPr>
      <w:r>
        <w:t xml:space="preserve">JEDNOZDANIOWE PODSUMOWANIE</w:t>
      </w:r>
    </w:p>
    <w:p>
      <w:pPr>
        <w:pStyle w:val="FirstParagraph"/>
      </w:pPr>
      <w:r>
        <w:rPr>
          <w:b/>
          <w:bCs/>
        </w:rPr>
        <w:t xml:space="preserve">Moneymax to proces: stabilizacja → kompetencja → monetyzacja → dźwignia → skala → autonomia.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2025-12-22T18:51:56Z</dcterms:created>
  <dcterms:modified xsi:type="dcterms:W3CDTF">2025-12-22T18:51:56Z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