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40"/>
          <w:szCs w:val="40"/>
        </w:rPr>
        <w:t xml:space="preserve">AI AGENT ASSESSMENT PROJECT</w:t>
      </w:r>
    </w:p>
    <w:p>
      <w:pPr>
        <w:spacing w:after="60" w:before="0"/>
        <w:jc w:val="center"/>
      </w:pPr>
      <w:r>
        <w:rPr>
          <w:rFonts w:ascii="Arial" w:cs="Arial" w:eastAsia="Arial" w:hAnsi="Arial"/>
          <w:b w:val="false"/>
          <w:bCs w:val="false"/>
          <w:color w:val="2E5FAC"/>
          <w:sz w:val="32"/>
          <w:szCs w:val="32"/>
        </w:rPr>
        <w:t xml:space="preserve">Code of Conduct</w:t>
      </w:r>
    </w:p>
    <w:p>
      <w:pPr>
        <w:spacing w:after="320" w:before="0"/>
        <w:jc w:val="center"/>
      </w:pPr>
      <w:r>
        <w:rPr>
          <w:rFonts w:ascii="Arial" w:cs="Arial" w:eastAsia="Arial" w:hAnsi="Arial"/>
          <w:i/>
          <w:iCs/>
          <w:color w:val="888888"/>
          <w:sz w:val="18"/>
          <w:szCs w:val="18"/>
        </w:rPr>
        <w:t xml:space="preserve">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2"/>
              <w:left w:val="none" w:color="FFFFFF" w:sz="0"/>
              <w:bottom w:val="single" w:color="1B3A6B" w:sz="12"/>
              <w:right w:val="none" w:color="FFFFFF" w:sz="0"/>
            </w:tcBorders>
            <w:shd w:fill="D6E4F7" w:val="clear"/>
            <w:tcMar>
              <w:top w:type="dxa" w:w="200"/>
              <w:left w:type="dxa" w:w="280"/>
              <w:bottom w:type="dxa" w:w="200"/>
              <w:right w:type="dxa" w:w="280"/>
            </w:tcMar>
          </w:tcPr>
          <w:p>
            <w:pPr>
              <w:jc w:val="center"/>
            </w:pPr>
            <w:r>
              <w:rPr>
                <w:rFonts w:ascii="Arial" w:cs="Arial" w:eastAsia="Arial" w:hAnsi="Arial"/>
                <w:i/>
                <w:iCs/>
                <w:color w:val="1B3A6B"/>
                <w:sz w:val="20"/>
                <w:szCs w:val="20"/>
              </w:rPr>
              <w:t xml:space="preserve">This document establishes the principles, responsibilities, and standards that govern how AI agents are proposed, assessed, and deployed within this project. It applies to every person who defines, evaluates, builds, or operates an agent.</w:t>
            </w:r>
          </w:p>
        </w:tc>
      </w:tr>
    </w:tbl>
    <w:p>
      <w:pPr>
        <w:spacing w:after="0" w:before="0"/>
      </w:pPr>
      <w:r>
        <w:t xml:space="preserve"/>
      </w:r>
    </w:p>
    <w:p>
      <w:pPr>
        <w:spacing w:after="0" w:before="0"/>
      </w:pPr>
      <w:r>
        <w:t xml:space="preserve"/>
      </w:r>
    </w:p>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1. Purpose</w:t>
      </w:r>
    </w:p>
    <w:p>
      <w:pPr>
        <w:spacing w:after="80" w:before="80"/>
        <w:jc w:val="both"/>
      </w:pPr>
      <w:r>
        <w:rPr>
          <w:rFonts w:ascii="Arial" w:cs="Arial" w:eastAsia="Arial" w:hAnsi="Arial"/>
          <w:sz w:val="20"/>
          <w:szCs w:val="20"/>
        </w:rPr>
        <w:t xml:space="preserve">The AI Agent Assessment Project exists to ensure that every AI agent created within this organisation is purposeful, well-defined, safe, and accountable. The physical and digital assessment tools — including the eight hexagonal section tiles, scoring chips, status toppers, score dial, attention flags, and the reference card — exist to make abstract governance concepts concrete, observable, and collaborative.</w:t>
      </w:r>
    </w:p>
    <w:p>
      <w:pPr>
        <w:spacing w:after="80" w:before="80"/>
        <w:jc w:val="both"/>
      </w:pPr>
      <w:r>
        <w:rPr>
          <w:rFonts w:ascii="Arial" w:cs="Arial" w:eastAsia="Arial" w:hAnsi="Arial"/>
          <w:sz w:val="20"/>
          <w:szCs w:val="20"/>
        </w:rPr>
        <w:t xml:space="preserve">This Code of Conduct sets out the expectations for everyone who participates in an assessment session, whether as an agent owner, an assessor, an observer, or a decision-maker.</w:t>
      </w:r>
    </w:p>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2. Scope</w:t>
      </w:r>
    </w:p>
    <w:p>
      <w:pPr>
        <w:spacing w:after="80" w:before="80"/>
        <w:jc w:val="left"/>
      </w:pPr>
      <w:r>
        <w:rPr>
          <w:rFonts w:ascii="Arial" w:cs="Arial" w:eastAsia="Arial" w:hAnsi="Arial"/>
          <w:sz w:val="20"/>
          <w:szCs w:val="20"/>
        </w:rPr>
        <w:t xml:space="preserve">This Code of Conduct applies to:</w:t>
      </w:r>
    </w:p>
    <w:p>
      <w:pPr>
        <w:pStyle w:val="ListParagraph"/>
        <w:numPr>
          <w:ilvl w:val="0"/>
          <w:numId w:val="2"/>
        </w:numPr>
        <w:spacing w:after="40" w:before="40"/>
      </w:pPr>
      <w:r>
        <w:rPr>
          <w:rFonts w:ascii="Arial" w:cs="Arial" w:eastAsia="Arial" w:hAnsi="Arial"/>
          <w:sz w:val="20"/>
          <w:szCs w:val="20"/>
        </w:rPr>
        <w:t xml:space="preserve">Any person proposing a new AI agent for deployment.</w:t>
      </w:r>
    </w:p>
    <w:p>
      <w:pPr>
        <w:pStyle w:val="ListParagraph"/>
        <w:numPr>
          <w:ilvl w:val="0"/>
          <w:numId w:val="2"/>
        </w:numPr>
        <w:spacing w:after="40" w:before="40"/>
      </w:pPr>
      <w:r>
        <w:rPr>
          <w:rFonts w:ascii="Arial" w:cs="Arial" w:eastAsia="Arial" w:hAnsi="Arial"/>
          <w:sz w:val="20"/>
          <w:szCs w:val="20"/>
        </w:rPr>
        <w:t xml:space="preserve">Any person conducting or participating in a formal assessment session.</w:t>
      </w:r>
    </w:p>
    <w:p>
      <w:pPr>
        <w:pStyle w:val="ListParagraph"/>
        <w:numPr>
          <w:ilvl w:val="0"/>
          <w:numId w:val="2"/>
        </w:numPr>
        <w:spacing w:after="40" w:before="40"/>
      </w:pPr>
      <w:r>
        <w:rPr>
          <w:rFonts w:ascii="Arial" w:cs="Arial" w:eastAsia="Arial" w:hAnsi="Arial"/>
          <w:sz w:val="20"/>
          <w:szCs w:val="20"/>
        </w:rPr>
        <w:t xml:space="preserve">Any person reviewing, approving, or rejecting an assessment outcome.</w:t>
      </w:r>
    </w:p>
    <w:p>
      <w:pPr>
        <w:pStyle w:val="ListParagraph"/>
        <w:numPr>
          <w:ilvl w:val="0"/>
          <w:numId w:val="2"/>
        </w:numPr>
        <w:spacing w:after="40" w:before="40"/>
      </w:pPr>
      <w:r>
        <w:rPr>
          <w:rFonts w:ascii="Arial" w:cs="Arial" w:eastAsia="Arial" w:hAnsi="Arial"/>
          <w:sz w:val="20"/>
          <w:szCs w:val="20"/>
        </w:rPr>
        <w:t xml:space="preserve">Any person operating or monitoring a deployed AI agent.</w:t>
      </w:r>
    </w:p>
    <w:p>
      <w:pPr>
        <w:pStyle w:val="ListParagraph"/>
        <w:numPr>
          <w:ilvl w:val="0"/>
          <w:numId w:val="2"/>
        </w:numPr>
        <w:spacing w:after="40" w:before="40"/>
      </w:pPr>
      <w:r>
        <w:rPr>
          <w:rFonts w:ascii="Arial" w:cs="Arial" w:eastAsia="Arial" w:hAnsi="Arial"/>
          <w:sz w:val="20"/>
          <w:szCs w:val="20"/>
        </w:rPr>
        <w:t xml:space="preserve">Any person modifying an existing agent's purpose, tasks, or scope.</w:t>
      </w:r>
    </w:p>
    <w:p>
      <w:pPr>
        <w:spacing w:after="0" w:before="0"/>
      </w:pPr>
      <w:r>
        <w:t xml:space="preserve"/>
      </w:r>
    </w:p>
    <w:p>
      <w:pPr>
        <w:spacing w:after="80" w:before="80"/>
        <w:jc w:val="both"/>
      </w:pPr>
      <w:r>
        <w:rPr>
          <w:rFonts w:ascii="Arial" w:cs="Arial" w:eastAsia="Arial" w:hAnsi="Arial"/>
          <w:sz w:val="20"/>
          <w:szCs w:val="20"/>
        </w:rPr>
        <w:t xml:space="preserve">It covers all AI agents regardless of the underlying model, framework, deployment environment, or business function.</w:t>
      </w:r>
    </w:p>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3. Core Principles</w:t>
      </w:r>
    </w:p>
    <w:p>
      <w:pPr>
        <w:spacing w:after="80" w:before="80"/>
        <w:jc w:val="left"/>
      </w:pPr>
      <w:r>
        <w:rPr>
          <w:rFonts w:ascii="Arial" w:cs="Arial" w:eastAsia="Arial" w:hAnsi="Arial"/>
          <w:sz w:val="20"/>
          <w:szCs w:val="20"/>
        </w:rPr>
        <w:t xml:space="preserve">All participants in the AI Agent Assessment Project commit to the following principles.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1</w:t>
            </w:r>
          </w:p>
        </w:tc>
        <w:tc>
          <w:tcPr>
            <w:tcW w:type="dxa" w:w="8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pPr>
              <w:spacing w:after="60" w:before="0"/>
            </w:pPr>
            <w:r>
              <w:rPr>
                <w:rFonts w:ascii="Arial" w:cs="Arial" w:eastAsia="Arial" w:hAnsi="Arial"/>
                <w:b/>
                <w:bCs/>
                <w:color w:val="1B3A6B"/>
                <w:sz w:val="22"/>
                <w:szCs w:val="22"/>
              </w:rPr>
              <w:t xml:space="preserve">Clarity before creation</w:t>
            </w:r>
          </w:p>
          <w:p>
            <w:pPr>
              <w:spacing w:after="0" w:before="0"/>
            </w:pPr>
            <w:r>
              <w:rPr>
                <w:rFonts w:ascii="Arial" w:cs="Arial" w:eastAsia="Arial" w:hAnsi="Arial"/>
                <w:color w:val="333333"/>
                <w:sz w:val="19"/>
                <w:szCs w:val="19"/>
              </w:rPr>
              <w:t xml:space="preserve">An agent must not be built or deployed until its purpose, tasks, scope boundaries, and expected outcomes are clearly documented and understood by all stakeholders. Ambiguity is a signal to pause, not to proceed.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2</w:t>
            </w:r>
          </w:p>
        </w:tc>
        <w:tc>
          <w:tcPr>
            <w:tcW w:type="dxa" w:w="8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pPr>
              <w:spacing w:after="60" w:before="0"/>
            </w:pPr>
            <w:r>
              <w:rPr>
                <w:rFonts w:ascii="Arial" w:cs="Arial" w:eastAsia="Arial" w:hAnsi="Arial"/>
                <w:b/>
                <w:bCs/>
                <w:color w:val="1B3A6B"/>
                <w:sz w:val="22"/>
                <w:szCs w:val="22"/>
              </w:rPr>
              <w:t xml:space="preserve">Honest assessment</w:t>
            </w:r>
          </w:p>
          <w:p>
            <w:pPr>
              <w:spacing w:after="0" w:before="0"/>
            </w:pPr>
            <w:r>
              <w:rPr>
                <w:rFonts w:ascii="Arial" w:cs="Arial" w:eastAsia="Arial" w:hAnsi="Arial"/>
                <w:color w:val="333333"/>
                <w:sz w:val="19"/>
                <w:szCs w:val="19"/>
              </w:rPr>
              <w:t xml:space="preserve">Assessments must reflect the genuine state of preparation, not the desired outcome. Scores must not be inflated to achieve approval. Every attention point flagged by the assessment is an honest finding, not a criticism of a person.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3</w:t>
            </w:r>
          </w:p>
        </w:tc>
        <w:tc>
          <w:tcPr>
            <w:tcW w:type="dxa" w:w="8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pPr>
              <w:spacing w:after="60" w:before="0"/>
            </w:pPr>
            <w:r>
              <w:rPr>
                <w:rFonts w:ascii="Arial" w:cs="Arial" w:eastAsia="Arial" w:hAnsi="Arial"/>
                <w:b/>
                <w:bCs/>
                <w:color w:val="1B3A6B"/>
                <w:sz w:val="22"/>
                <w:szCs w:val="22"/>
              </w:rPr>
              <w:t xml:space="preserve">Human accountability</w:t>
            </w:r>
          </w:p>
          <w:p>
            <w:pPr>
              <w:spacing w:after="0" w:before="0"/>
            </w:pPr>
            <w:r>
              <w:rPr>
                <w:rFonts w:ascii="Arial" w:cs="Arial" w:eastAsia="Arial" w:hAnsi="Arial"/>
                <w:color w:val="333333"/>
                <w:sz w:val="19"/>
                <w:szCs w:val="19"/>
              </w:rPr>
              <w:t xml:space="preserve">Every agent has a named human owner. Autonomous behaviour does not remove human responsibility. The owner is accountable for the agent’s actions, its cost, and its impact.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4</w:t>
            </w:r>
          </w:p>
        </w:tc>
        <w:tc>
          <w:tcPr>
            <w:tcW w:type="dxa" w:w="8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pPr>
              <w:spacing w:after="60" w:before="0"/>
            </w:pPr>
            <w:r>
              <w:rPr>
                <w:rFonts w:ascii="Arial" w:cs="Arial" w:eastAsia="Arial" w:hAnsi="Arial"/>
                <w:b/>
                <w:bCs/>
                <w:color w:val="1B3A6B"/>
                <w:sz w:val="22"/>
                <w:szCs w:val="22"/>
              </w:rPr>
              <w:t xml:space="preserve">Proportional oversight</w:t>
            </w:r>
          </w:p>
          <w:p>
            <w:pPr>
              <w:spacing w:after="0" w:before="0"/>
            </w:pPr>
            <w:r>
              <w:rPr>
                <w:rFonts w:ascii="Arial" w:cs="Arial" w:eastAsia="Arial" w:hAnsi="Arial"/>
                <w:color w:val="333333"/>
                <w:sz w:val="19"/>
                <w:szCs w:val="19"/>
              </w:rPr>
              <w:t xml:space="preserve">Oversight must be proportional to risk. Agents handling sensitive data, making irreversible decisions, or operating with high autonomy require more rigorous assessment and more frequent review than low-stakes automation.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5</w:t>
            </w:r>
          </w:p>
        </w:tc>
        <w:tc>
          <w:tcPr>
            <w:tcW w:type="dxa" w:w="8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pPr>
              <w:spacing w:after="60" w:before="0"/>
            </w:pPr>
            <w:r>
              <w:rPr>
                <w:rFonts w:ascii="Arial" w:cs="Arial" w:eastAsia="Arial" w:hAnsi="Arial"/>
                <w:b/>
                <w:bCs/>
                <w:color w:val="1B3A6B"/>
                <w:sz w:val="22"/>
                <w:szCs w:val="22"/>
              </w:rPr>
              <w:t xml:space="preserve">Continuous improvement</w:t>
            </w:r>
          </w:p>
          <w:p>
            <w:pPr>
              <w:spacing w:after="0" w:before="0"/>
            </w:pPr>
            <w:r>
              <w:rPr>
                <w:rFonts w:ascii="Arial" w:cs="Arial" w:eastAsia="Arial" w:hAnsi="Arial"/>
                <w:color w:val="333333"/>
                <w:sz w:val="19"/>
                <w:szCs w:val="19"/>
              </w:rPr>
              <w:t xml:space="preserve">Assessment is not a one-time gate. Deployed agents must be monitored, re-assessed when circumstances change, and retired responsibly when they no longer serve their purpose.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6</w:t>
            </w:r>
          </w:p>
        </w:tc>
        <w:tc>
          <w:tcPr>
            <w:tcW w:type="dxa" w:w="8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pPr>
              <w:spacing w:after="60" w:before="0"/>
            </w:pPr>
            <w:r>
              <w:rPr>
                <w:rFonts w:ascii="Arial" w:cs="Arial" w:eastAsia="Arial" w:hAnsi="Arial"/>
                <w:b/>
                <w:bCs/>
                <w:color w:val="1B3A6B"/>
                <w:sz w:val="22"/>
                <w:szCs w:val="22"/>
              </w:rPr>
              <w:t xml:space="preserve">Respect for data</w:t>
            </w:r>
          </w:p>
          <w:p>
            <w:pPr>
              <w:spacing w:after="0" w:before="0"/>
            </w:pPr>
            <w:r>
              <w:rPr>
                <w:rFonts w:ascii="Arial" w:cs="Arial" w:eastAsia="Arial" w:hAnsi="Arial"/>
                <w:color w:val="333333"/>
                <w:sz w:val="19"/>
                <w:szCs w:val="19"/>
              </w:rPr>
              <w:t xml:space="preserve">Agents must only access the data they need. Data sensitivity classification must be performed honestly. PII handling procedures must be documented and followed before deployment.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0"/>
        <w:gridCol w:w="8360"/>
      </w:tblGrid>
      <w:tr>
        <w:tc>
          <w:tcPr>
            <w:tcW w:type="dxa" w:w="1000"/>
            <w:tcBorders>
              <w:top w:val="single" w:color="CCCCCC" w:sz="1"/>
              <w:left w:val="single" w:color="CCCCCC" w:sz="1"/>
              <w:bottom w:val="single" w:color="CCCCCC" w:sz="1"/>
              <w:right w:val="single" w:color="CCCCCC"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7</w:t>
            </w:r>
          </w:p>
        </w:tc>
        <w:tc>
          <w:tcPr>
            <w:tcW w:type="dxa" w:w="8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20"/>
            </w:tcMar>
          </w:tcPr>
          <w:p>
            <w:pPr>
              <w:spacing w:after="60" w:before="0"/>
            </w:pPr>
            <w:r>
              <w:rPr>
                <w:rFonts w:ascii="Arial" w:cs="Arial" w:eastAsia="Arial" w:hAnsi="Arial"/>
                <w:b/>
                <w:bCs/>
                <w:color w:val="1B3A6B"/>
                <w:sz w:val="22"/>
                <w:szCs w:val="22"/>
              </w:rPr>
              <w:t xml:space="preserve">Cost awareness</w:t>
            </w:r>
          </w:p>
          <w:p>
            <w:pPr>
              <w:spacing w:after="0" w:before="0"/>
            </w:pPr>
            <w:r>
              <w:rPr>
                <w:rFonts w:ascii="Arial" w:cs="Arial" w:eastAsia="Arial" w:hAnsi="Arial"/>
                <w:color w:val="333333"/>
                <w:sz w:val="19"/>
                <w:szCs w:val="19"/>
              </w:rPr>
              <w:t xml:space="preserve">Token usage and operational cost are shared resources. Every agent must have a defined budget, a cost alert threshold, and a usage tracking plan. Uncontrolled spending is a governance failure.</w:t>
            </w:r>
          </w:p>
        </w:tc>
      </w:tr>
    </w:tbl>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4. The Assessment Process</w:t>
      </w:r>
    </w:p>
    <w:p>
      <w:pPr>
        <w:spacing w:after="80" w:before="80"/>
        <w:jc w:val="left"/>
      </w:pPr>
      <w:r>
        <w:rPr>
          <w:rFonts w:ascii="Arial" w:cs="Arial" w:eastAsia="Arial" w:hAnsi="Arial"/>
          <w:sz w:val="20"/>
          <w:szCs w:val="20"/>
        </w:rPr>
        <w:t xml:space="preserve">Every new agent proposal must complete a structured assessment before receiving approval to proceed. The assessment is conducted using the provided tooling, which covers eight mandatory sections.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must be defined</w:t>
            </w:r>
          </w:p>
        </w:tc>
      </w:tr>
      <w:tr>
        <w:tc>
          <w:tcPr>
            <w:tcW w:type="dxa" w:w="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Agent 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agent’s goal, owner, primary use case, and expected outcome when it runs successfully.</w:t>
            </w:r>
          </w:p>
        </w:tc>
      </w:tr>
      <w:tr>
        <w:tc>
          <w:tcPr>
            <w:tcW w:type="dxa" w:w="600"/>
            <w:tcBorders>
              <w:top w:val="single" w:color="CCCCCC" w:sz="1"/>
              <w:left w:val="single" w:color="CCCCCC" w:sz="1"/>
              <w:bottom w:val="single" w:color="CCCCCC" w:sz="1"/>
              <w:right w:val="single" w:color="CCCCCC" w:sz="1"/>
            </w:tcBorders>
            <w:shd w:fill="2E5FA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Task Assignment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 complete, prioritised list of specific tasks the agent will perform, with dependencies identified.</w:t>
            </w:r>
          </w:p>
        </w:tc>
      </w:tr>
      <w:tr>
        <w:tc>
          <w:tcPr>
            <w:tcW w:type="dxa" w:w="600"/>
            <w:tcBorders>
              <w:top w:val="single" w:color="CCCCCC" w:sz="1"/>
              <w:left w:val="single" w:color="CCCCCC" w:sz="1"/>
              <w:bottom w:val="single" w:color="CCCCCC" w:sz="1"/>
              <w:right w:val="single" w:color="CCCCCC" w:sz="1"/>
            </w:tcBorders>
            <w:shd w:fill="40106E"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Context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expected input context size, all input sources, and a documented strategy for managing large contexts.</w:t>
            </w:r>
          </w:p>
        </w:tc>
      </w:tr>
      <w:tr>
        <w:tc>
          <w:tcPr>
            <w:tcW w:type="dxa" w:w="600"/>
            <w:tcBorders>
              <w:top w:val="single" w:color="CCCCCC" w:sz="1"/>
              <w:left w:val="single" w:color="CCCCCC" w:sz="1"/>
              <w:bottom w:val="single" w:color="CCCCCC" w:sz="1"/>
              <w:right w:val="single" w:color="CCCCCC" w:sz="1"/>
            </w:tcBorders>
            <w:shd w:fill="7B1818"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 Sensitivity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highest sensitivity level handled, data types processed, PII procedures, handling documentation, and retention policy.</w:t>
            </w:r>
          </w:p>
        </w:tc>
      </w:tr>
      <w:tr>
        <w:tc>
          <w:tcPr>
            <w:tcW w:type="dxa" w:w="600"/>
            <w:tcBorders>
              <w:top w:val="single" w:color="CCCCCC" w:sz="1"/>
              <w:left w:val="single" w:color="CCCCCC" w:sz="1"/>
              <w:bottom w:val="single" w:color="CCCCCC" w:sz="1"/>
              <w:right w:val="single" w:color="CCCCCC" w:sz="1"/>
            </w:tcBorders>
            <w:shd w:fill="7A32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Human Oversight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The oversight model, defined escalation triggers, a documented escalation path, and approval gates for critical actions.</w:t>
            </w:r>
          </w:p>
        </w:tc>
      </w:tr>
      <w:tr>
        <w:tc>
          <w:tcPr>
            <w:tcW w:type="dxa" w:w="600"/>
            <w:tcBorders>
              <w:top w:val="single" w:color="CCCCCC" w:sz="1"/>
              <w:left w:val="single" w:color="CCCCCC" w:sz="1"/>
              <w:bottom w:val="single" w:color="CCCCCC" w:sz="1"/>
              <w:right w:val="single" w:color="CCCCCC" w:sz="1"/>
            </w:tcBorders>
            <w:shd w:fill="1A4A6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Error Handling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Fallback behaviour, retry policy, alerting configuration, and graceful degradation capability.</w:t>
            </w:r>
          </w:p>
        </w:tc>
      </w:tr>
      <w:tr>
        <w:tc>
          <w:tcPr>
            <w:tcW w:type="dxa" w:w="600"/>
            <w:tcBorders>
              <w:top w:val="single" w:color="CCCCCC" w:sz="1"/>
              <w:left w:val="single" w:color="CCCCCC" w:sz="1"/>
              <w:bottom w:val="single" w:color="CCCCCC" w:sz="1"/>
              <w:right w:val="single" w:color="CCCCCC" w:sz="1"/>
            </w:tcBorders>
            <w:shd w:fill="3D3D3D"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Scope Boundaries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Explicit list of what the agent must not do, an allow-list of permitted actions, and a deny-list of prohibited actions.</w:t>
            </w:r>
          </w:p>
        </w:tc>
      </w:tr>
      <w:tr>
        <w:tc>
          <w:tcPr>
            <w:tcW w:type="dxa" w:w="600"/>
            <w:tcBorders>
              <w:top w:val="single" w:color="CCCCCC" w:sz="1"/>
              <w:left w:val="single" w:color="CCCCCC" w:sz="1"/>
              <w:bottom w:val="single" w:color="CCCCCC" w:sz="1"/>
              <w:right w:val="single" w:color="CCCCCC" w:sz="1"/>
            </w:tcBorders>
            <w:shd w:fill="5A42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FinOps &amp; Tokens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Model choice with documented rationale, token budget per invocation, monthly cost alert threshold, and usage tracking plan.</w:t>
            </w:r>
          </w:p>
        </w:tc>
      </w:tr>
    </w:tbl>
    <w:p>
      <w:pPr>
        <w:spacing w:after="0" w:before="0"/>
      </w:pPr>
      <w:r>
        <w:t xml:space="preserve"/>
      </w:r>
    </w:p>
    <w:p>
      <w:pPr>
        <w:spacing w:after="0" w:before="0"/>
      </w:pPr>
      <w:r>
        <w:t xml:space="preserve"/>
      </w:r>
    </w:p>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5. Scoring and Verdicts</w:t>
      </w:r>
    </w:p>
    <w:p>
      <w:pPr>
        <w:spacing w:after="80" w:before="80"/>
        <w:jc w:val="left"/>
      </w:pPr>
      <w:r>
        <w:rPr>
          <w:rFonts w:ascii="Arial" w:cs="Arial" w:eastAsia="Arial" w:hAnsi="Arial"/>
          <w:sz w:val="20"/>
          <w:szCs w:val="20"/>
        </w:rPr>
        <w:t xml:space="preserve">Each section is scored on a scale of 1 to 10. The overall score is a weighted average across all eight sections. The score determines the assessment verdict.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Verdict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c>
          <w:tcPr>
            <w:tcW w:type="dxa" w:w="2800"/>
            <w:tcBorders>
              <w:top w:val="single" w:color="CCCCCC" w:sz="1"/>
              <w:left w:val="single" w:color="CCCCCC" w:sz="1"/>
              <w:bottom w:val="single" w:color="CCCCCC" w:sz="1"/>
              <w:right w:val="single" w:color="CCCCCC" w:sz="1"/>
            </w:tcBorders>
            <w:shd w:fill="1A6E3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GREEN — GO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7–10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agent is well-defined and may proceed to deployment. Logging tags must be applied before launch.</w:t>
            </w:r>
          </w:p>
        </w:tc>
      </w:tr>
      <w:tr>
        <w:tc>
          <w:tcPr>
            <w:tcW w:type="dxa" w:w="2800"/>
            <w:tcBorders>
              <w:top w:val="single" w:color="CCCCCC" w:sz="1"/>
              <w:left w:val="single" w:color="CCCCCC" w:sz="1"/>
              <w:bottom w:val="single" w:color="CCCCCC" w:sz="1"/>
              <w:right w:val="single" w:color="CCCCCC" w:sz="1"/>
            </w:tcBorders>
            <w:shd w:fill="C87D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AMBER —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4–6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agent has gaps that must be addressed. A re-assessment is required before deployment approval is granted.</w:t>
            </w:r>
          </w:p>
        </w:tc>
      </w:tr>
      <w:tr>
        <w:tc>
          <w:tcPr>
            <w:tcW w:type="dxa" w:w="2800"/>
            <w:tcBorders>
              <w:top w:val="single" w:color="CCCCCC" w:sz="1"/>
              <w:left w:val="single" w:color="CCCCCC" w:sz="1"/>
              <w:bottom w:val="single" w:color="CCCCCC" w:sz="1"/>
              <w:right w:val="single" w:color="CCCCCC" w:sz="1"/>
            </w:tcBorders>
            <w:shd w:fill="8B1A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RED — HALT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agent is not sufficiently defined. It must not be created. A full rework and new assessment is required.</w:t>
            </w:r>
          </w:p>
        </w:tc>
      </w:tr>
    </w:tbl>
    <w:p>
      <w:pPr>
        <w:spacing w:after="0" w:before="0"/>
      </w:pPr>
      <w:r>
        <w:t xml:space="preserve"/>
      </w:r>
    </w:p>
    <w:p>
      <w:pPr>
        <w:spacing w:after="80" w:before="80"/>
        <w:jc w:val="both"/>
      </w:pPr>
      <w:r>
        <w:rPr>
          <w:rFonts w:ascii="Arial" w:cs="Arial" w:eastAsia="Arial" w:hAnsi="Arial"/>
          <w:sz w:val="20"/>
          <w:szCs w:val="20"/>
        </w:rPr>
        <w:t xml:space="preserve">Any section scoring below 7 generates an attention point. Attention points do not automatically block deployment but must be acknowledged in writing by the agent owner and the approving authority.</w:t>
      </w:r>
    </w:p>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6. Responsibilities</w:t>
      </w:r>
    </w:p>
    <w:p>
      <w:pPr>
        <w:pStyle w:val="Heading2"/>
        <w:spacing w:after="100" w:before="240"/>
      </w:pPr>
      <w:r>
        <w:rPr>
          <w:rFonts w:ascii="Arial" w:cs="Arial" w:eastAsia="Arial" w:hAnsi="Arial"/>
          <w:b/>
          <w:bCs/>
          <w:color w:val="2E5FAC"/>
          <w:sz w:val="22"/>
          <w:szCs w:val="22"/>
        </w:rPr>
        <w:t xml:space="preserve">6.1 Agent Owner</w:t>
      </w:r>
    </w:p>
    <w:p>
      <w:pPr>
        <w:pStyle w:val="ListParagraph"/>
        <w:numPr>
          <w:ilvl w:val="0"/>
          <w:numId w:val="2"/>
        </w:numPr>
        <w:spacing w:after="40" w:before="40"/>
      </w:pPr>
      <w:r>
        <w:rPr>
          <w:rFonts w:ascii="Arial" w:cs="Arial" w:eastAsia="Arial" w:hAnsi="Arial"/>
          <w:sz w:val="20"/>
          <w:szCs w:val="20"/>
        </w:rPr>
        <w:t xml:space="preserve">Complete the assessment tool honestly and in full before requesting approval.</w:t>
      </w:r>
    </w:p>
    <w:p>
      <w:pPr>
        <w:pStyle w:val="ListParagraph"/>
        <w:numPr>
          <w:ilvl w:val="0"/>
          <w:numId w:val="2"/>
        </w:numPr>
        <w:spacing w:after="40" w:before="40"/>
      </w:pPr>
      <w:r>
        <w:rPr>
          <w:rFonts w:ascii="Arial" w:cs="Arial" w:eastAsia="Arial" w:hAnsi="Arial"/>
          <w:sz w:val="20"/>
          <w:szCs w:val="20"/>
        </w:rPr>
        <w:t xml:space="preserve">Ensure all eight sections are documented, not just the sections the agent scores well on.</w:t>
      </w:r>
    </w:p>
    <w:p>
      <w:pPr>
        <w:pStyle w:val="ListParagraph"/>
        <w:numPr>
          <w:ilvl w:val="0"/>
          <w:numId w:val="2"/>
        </w:numPr>
        <w:spacing w:after="40" w:before="40"/>
      </w:pPr>
      <w:r>
        <w:rPr>
          <w:rFonts w:ascii="Arial" w:cs="Arial" w:eastAsia="Arial" w:hAnsi="Arial"/>
          <w:sz w:val="20"/>
          <w:szCs w:val="20"/>
        </w:rPr>
        <w:t xml:space="preserve">Acknowledge all attention points and document a remediation plan for each.</w:t>
      </w:r>
    </w:p>
    <w:p>
      <w:pPr>
        <w:pStyle w:val="ListParagraph"/>
        <w:numPr>
          <w:ilvl w:val="0"/>
          <w:numId w:val="2"/>
        </w:numPr>
        <w:spacing w:after="40" w:before="40"/>
      </w:pPr>
      <w:r>
        <w:rPr>
          <w:rFonts w:ascii="Arial" w:cs="Arial" w:eastAsia="Arial" w:hAnsi="Arial"/>
          <w:sz w:val="20"/>
          <w:szCs w:val="20"/>
        </w:rPr>
        <w:t xml:space="preserve">Apply the generated logging tags to the agent’s observability pipeline before launch.</w:t>
      </w:r>
    </w:p>
    <w:p>
      <w:pPr>
        <w:pStyle w:val="ListParagraph"/>
        <w:numPr>
          <w:ilvl w:val="0"/>
          <w:numId w:val="2"/>
        </w:numPr>
        <w:spacing w:after="40" w:before="40"/>
      </w:pPr>
      <w:r>
        <w:rPr>
          <w:rFonts w:ascii="Arial" w:cs="Arial" w:eastAsia="Arial" w:hAnsi="Arial"/>
          <w:sz w:val="20"/>
          <w:szCs w:val="20"/>
        </w:rPr>
        <w:t xml:space="preserve">Re-assess the agent whenever its purpose, tasks, scope, or data access changes materially.</w:t>
      </w:r>
    </w:p>
    <w:p>
      <w:pPr>
        <w:pStyle w:val="ListParagraph"/>
        <w:numPr>
          <w:ilvl w:val="0"/>
          <w:numId w:val="2"/>
        </w:numPr>
        <w:spacing w:after="40" w:before="40"/>
      </w:pPr>
      <w:r>
        <w:rPr>
          <w:rFonts w:ascii="Arial" w:cs="Arial" w:eastAsia="Arial" w:hAnsi="Arial"/>
          <w:sz w:val="20"/>
          <w:szCs w:val="20"/>
        </w:rPr>
        <w:t xml:space="preserve">Monitor token usage and cost against the defined budget and alert threshold.</w:t>
      </w:r>
    </w:p>
    <w:p>
      <w:pPr>
        <w:pStyle w:val="Heading2"/>
        <w:spacing w:after="100" w:before="240"/>
      </w:pPr>
      <w:r>
        <w:rPr>
          <w:rFonts w:ascii="Arial" w:cs="Arial" w:eastAsia="Arial" w:hAnsi="Arial"/>
          <w:b/>
          <w:bCs/>
          <w:color w:val="2E5FAC"/>
          <w:sz w:val="22"/>
          <w:szCs w:val="22"/>
        </w:rPr>
        <w:t xml:space="preserve">6.2 Assessors</w:t>
      </w:r>
    </w:p>
    <w:p>
      <w:pPr>
        <w:pStyle w:val="ListParagraph"/>
        <w:numPr>
          <w:ilvl w:val="0"/>
          <w:numId w:val="2"/>
        </w:numPr>
        <w:spacing w:after="40" w:before="40"/>
      </w:pPr>
      <w:r>
        <w:rPr>
          <w:rFonts w:ascii="Arial" w:cs="Arial" w:eastAsia="Arial" w:hAnsi="Arial"/>
          <w:sz w:val="20"/>
          <w:szCs w:val="20"/>
        </w:rPr>
        <w:t xml:space="preserve">Score each section independently and objectively, based on the evidence presented.</w:t>
      </w:r>
    </w:p>
    <w:p>
      <w:pPr>
        <w:pStyle w:val="ListParagraph"/>
        <w:numPr>
          <w:ilvl w:val="0"/>
          <w:numId w:val="2"/>
        </w:numPr>
        <w:spacing w:after="40" w:before="40"/>
      </w:pPr>
      <w:r>
        <w:rPr>
          <w:rFonts w:ascii="Arial" w:cs="Arial" w:eastAsia="Arial" w:hAnsi="Arial"/>
          <w:sz w:val="20"/>
          <w:szCs w:val="20"/>
        </w:rPr>
        <w:t xml:space="preserve">Place attention flags on any section where the documentation is vague, incomplete, or contradictory.</w:t>
      </w:r>
    </w:p>
    <w:p>
      <w:pPr>
        <w:pStyle w:val="ListParagraph"/>
        <w:numPr>
          <w:ilvl w:val="0"/>
          <w:numId w:val="2"/>
        </w:numPr>
        <w:spacing w:after="40" w:before="40"/>
      </w:pPr>
      <w:r>
        <w:rPr>
          <w:rFonts w:ascii="Arial" w:cs="Arial" w:eastAsia="Arial" w:hAnsi="Arial"/>
          <w:sz w:val="20"/>
          <w:szCs w:val="20"/>
        </w:rPr>
        <w:t xml:space="preserve">Do not allow time pressure or business urgency to inflate scores.</w:t>
      </w:r>
    </w:p>
    <w:p>
      <w:pPr>
        <w:pStyle w:val="ListParagraph"/>
        <w:numPr>
          <w:ilvl w:val="0"/>
          <w:numId w:val="2"/>
        </w:numPr>
        <w:spacing w:after="40" w:before="40"/>
      </w:pPr>
      <w:r>
        <w:rPr>
          <w:rFonts w:ascii="Arial" w:cs="Arial" w:eastAsia="Arial" w:hAnsi="Arial"/>
          <w:sz w:val="20"/>
          <w:szCs w:val="20"/>
        </w:rPr>
        <w:t xml:space="preserve">Record the reason for each attention flag in the assessment report.</w:t>
      </w:r>
    </w:p>
    <w:p>
      <w:pPr>
        <w:pStyle w:val="ListParagraph"/>
        <w:numPr>
          <w:ilvl w:val="0"/>
          <w:numId w:val="2"/>
        </w:numPr>
        <w:spacing w:after="40" w:before="40"/>
      </w:pPr>
      <w:r>
        <w:rPr>
          <w:rFonts w:ascii="Arial" w:cs="Arial" w:eastAsia="Arial" w:hAnsi="Arial"/>
          <w:sz w:val="20"/>
          <w:szCs w:val="20"/>
        </w:rPr>
        <w:t xml:space="preserve">Maintain confidentiality of assessment findings until the report is finalised.</w:t>
      </w:r>
    </w:p>
    <w:p>
      <w:pPr>
        <w:pStyle w:val="Heading2"/>
        <w:spacing w:after="100" w:before="240"/>
      </w:pPr>
      <w:r>
        <w:rPr>
          <w:rFonts w:ascii="Arial" w:cs="Arial" w:eastAsia="Arial" w:hAnsi="Arial"/>
          <w:b/>
          <w:bCs/>
          <w:color w:val="2E5FAC"/>
          <w:sz w:val="22"/>
          <w:szCs w:val="22"/>
        </w:rPr>
        <w:t xml:space="preserve">6.3 Approving Authority</w:t>
      </w:r>
    </w:p>
    <w:p>
      <w:pPr>
        <w:pStyle w:val="ListParagraph"/>
        <w:numPr>
          <w:ilvl w:val="0"/>
          <w:numId w:val="2"/>
        </w:numPr>
        <w:spacing w:after="40" w:before="40"/>
      </w:pPr>
      <w:r>
        <w:rPr>
          <w:rFonts w:ascii="Arial" w:cs="Arial" w:eastAsia="Arial" w:hAnsi="Arial"/>
          <w:sz w:val="20"/>
          <w:szCs w:val="20"/>
        </w:rPr>
        <w:t xml:space="preserve">Review the full assessment report, including all attention points and remediation plans.</w:t>
      </w:r>
    </w:p>
    <w:p>
      <w:pPr>
        <w:pStyle w:val="ListParagraph"/>
        <w:numPr>
          <w:ilvl w:val="0"/>
          <w:numId w:val="2"/>
        </w:numPr>
        <w:spacing w:after="40" w:before="40"/>
      </w:pPr>
      <w:r>
        <w:rPr>
          <w:rFonts w:ascii="Arial" w:cs="Arial" w:eastAsia="Arial" w:hAnsi="Arial"/>
          <w:sz w:val="20"/>
          <w:szCs w:val="20"/>
        </w:rPr>
        <w:t xml:space="preserve">Issue approval only when the overall score is 7 or above.</w:t>
      </w:r>
    </w:p>
    <w:p>
      <w:pPr>
        <w:pStyle w:val="ListParagraph"/>
        <w:numPr>
          <w:ilvl w:val="0"/>
          <w:numId w:val="2"/>
        </w:numPr>
        <w:spacing w:after="40" w:before="40"/>
      </w:pPr>
      <w:r>
        <w:rPr>
          <w:rFonts w:ascii="Arial" w:cs="Arial" w:eastAsia="Arial" w:hAnsi="Arial"/>
          <w:sz w:val="20"/>
          <w:szCs w:val="20"/>
        </w:rPr>
        <w:t xml:space="preserve">Require a re-assessment for any agent that scores below 7 before re-submission.</w:t>
      </w:r>
    </w:p>
    <w:p>
      <w:pPr>
        <w:pStyle w:val="ListParagraph"/>
        <w:numPr>
          <w:ilvl w:val="0"/>
          <w:numId w:val="2"/>
        </w:numPr>
        <w:spacing w:after="40" w:before="40"/>
      </w:pPr>
      <w:r>
        <w:rPr>
          <w:rFonts w:ascii="Arial" w:cs="Arial" w:eastAsia="Arial" w:hAnsi="Arial"/>
          <w:sz w:val="20"/>
          <w:szCs w:val="20"/>
        </w:rPr>
        <w:t xml:space="preserve">Retain the signed assessment report for audit purposes.</w:t>
      </w:r>
    </w:p>
    <w:p>
      <w:pPr>
        <w:pStyle w:val="ListParagraph"/>
        <w:numPr>
          <w:ilvl w:val="0"/>
          <w:numId w:val="2"/>
        </w:numPr>
        <w:spacing w:after="40" w:before="40"/>
      </w:pPr>
      <w:r>
        <w:rPr>
          <w:rFonts w:ascii="Arial" w:cs="Arial" w:eastAsia="Arial" w:hAnsi="Arial"/>
          <w:sz w:val="20"/>
          <w:szCs w:val="20"/>
        </w:rPr>
        <w:t xml:space="preserve">Revoke deployment approval if the agent materially deviates from its assessed scope.</w:t>
      </w:r>
    </w:p>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7. Conduct in Assessment Sessions</w:t>
      </w:r>
    </w:p>
    <w:p>
      <w:pPr>
        <w:spacing w:after="80" w:before="80"/>
        <w:jc w:val="left"/>
      </w:pPr>
      <w:r>
        <w:rPr>
          <w:rFonts w:ascii="Arial" w:cs="Arial" w:eastAsia="Arial" w:hAnsi="Arial"/>
          <w:sz w:val="20"/>
          <w:szCs w:val="20"/>
        </w:rPr>
        <w:t xml:space="preserve">Assessment sessions using the physical token kit must follow these ground rules:</w:t>
      </w:r>
    </w:p>
    <w:p>
      <w:pPr>
        <w:spacing w:after="0" w:before="0"/>
      </w:pPr>
      <w:r>
        <w:t xml:space="preserve"/>
      </w:r>
    </w:p>
    <w:p>
      <w:pPr>
        <w:pStyle w:val="ListParagraph"/>
        <w:numPr>
          <w:ilvl w:val="0"/>
          <w:numId w:val="2"/>
        </w:numPr>
        <w:spacing w:after="40" w:before="40"/>
      </w:pPr>
      <w:r>
        <w:rPr>
          <w:rFonts w:ascii="Arial" w:cs="Arial" w:eastAsia="Arial" w:hAnsi="Arial"/>
          <w:sz w:val="20"/>
          <w:szCs w:val="20"/>
        </w:rPr>
        <w:t xml:space="preserve">Every participant has an equal voice. Seniority does not override an honest score.</w:t>
      </w:r>
    </w:p>
    <w:p>
      <w:pPr>
        <w:pStyle w:val="ListParagraph"/>
        <w:numPr>
          <w:ilvl w:val="0"/>
          <w:numId w:val="2"/>
        </w:numPr>
        <w:spacing w:after="40" w:before="40"/>
      </w:pPr>
      <w:r>
        <w:rPr>
          <w:rFonts w:ascii="Arial" w:cs="Arial" w:eastAsia="Arial" w:hAnsi="Arial"/>
          <w:sz w:val="20"/>
          <w:szCs w:val="20"/>
        </w:rPr>
        <w:t xml:space="preserve">Scores are placed face-down until all participants have scored, then revealed simultaneously to prevent anchoring bias.</w:t>
      </w:r>
    </w:p>
    <w:p>
      <w:pPr>
        <w:pStyle w:val="ListParagraph"/>
        <w:numPr>
          <w:ilvl w:val="0"/>
          <w:numId w:val="2"/>
        </w:numPr>
        <w:spacing w:after="40" w:before="40"/>
      </w:pPr>
      <w:r>
        <w:rPr>
          <w:rFonts w:ascii="Arial" w:cs="Arial" w:eastAsia="Arial" w:hAnsi="Arial"/>
          <w:sz w:val="20"/>
          <w:szCs w:val="20"/>
        </w:rPr>
        <w:t xml:space="preserve">Disagreements on scores are resolved by discussion, not by deferring to the most senior person in the room.</w:t>
      </w:r>
    </w:p>
    <w:p>
      <w:pPr>
        <w:pStyle w:val="ListParagraph"/>
        <w:numPr>
          <w:ilvl w:val="0"/>
          <w:numId w:val="2"/>
        </w:numPr>
        <w:spacing w:after="40" w:before="40"/>
      </w:pPr>
      <w:r>
        <w:rPr>
          <w:rFonts w:ascii="Arial" w:cs="Arial" w:eastAsia="Arial" w:hAnsi="Arial"/>
          <w:sz w:val="20"/>
          <w:szCs w:val="20"/>
        </w:rPr>
        <w:t xml:space="preserve">The agent owner may present and answer questions but does not score their own agent.</w:t>
      </w:r>
    </w:p>
    <w:p>
      <w:pPr>
        <w:pStyle w:val="ListParagraph"/>
        <w:numPr>
          <w:ilvl w:val="0"/>
          <w:numId w:val="2"/>
        </w:numPr>
        <w:spacing w:after="40" w:before="40"/>
      </w:pPr>
      <w:r>
        <w:rPr>
          <w:rFonts w:ascii="Arial" w:cs="Arial" w:eastAsia="Arial" w:hAnsi="Arial"/>
          <w:sz w:val="20"/>
          <w:szCs w:val="20"/>
        </w:rPr>
        <w:t xml:space="preserve">Attention flags may be placed by any participant, not only the lead assessor.</w:t>
      </w:r>
    </w:p>
    <w:p>
      <w:pPr>
        <w:pStyle w:val="ListParagraph"/>
        <w:numPr>
          <w:ilvl w:val="0"/>
          <w:numId w:val="2"/>
        </w:numPr>
        <w:spacing w:after="40" w:before="40"/>
      </w:pPr>
      <w:r>
        <w:rPr>
          <w:rFonts w:ascii="Arial" w:cs="Arial" w:eastAsia="Arial" w:hAnsi="Arial"/>
          <w:sz w:val="20"/>
          <w:szCs w:val="20"/>
        </w:rPr>
        <w:t xml:space="preserve">All physical assessment outputs (chip placements, dial position, topper selection) must be recorded before the session ends.</w:t>
      </w:r>
    </w:p>
    <w:p>
      <w:pPr>
        <w:pStyle w:val="ListParagraph"/>
        <w:numPr>
          <w:ilvl w:val="0"/>
          <w:numId w:val="2"/>
        </w:numPr>
        <w:spacing w:after="40" w:before="40"/>
      </w:pPr>
      <w:r>
        <w:rPr>
          <w:rFonts w:ascii="Arial" w:cs="Arial" w:eastAsia="Arial" w:hAnsi="Arial"/>
          <w:sz w:val="20"/>
          <w:szCs w:val="20"/>
        </w:rPr>
        <w:t xml:space="preserve">The assessment report file generated by the digital tool (assess_agent.py) is the authoritative record.</w:t>
      </w:r>
    </w:p>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8. Prohibited Conduct</w:t>
      </w:r>
    </w:p>
    <w:p>
      <w:pPr>
        <w:spacing w:after="80" w:before="80"/>
        <w:jc w:val="left"/>
      </w:pPr>
      <w:r>
        <w:rPr>
          <w:rFonts w:ascii="Arial" w:cs="Arial" w:eastAsia="Arial" w:hAnsi="Arial"/>
          <w:sz w:val="20"/>
          <w:szCs w:val="20"/>
        </w:rPr>
        <w:t xml:space="preserve">The following behaviours are incompatible with this Code of Conduct and may result in the assessment being invalidated:</w:t>
      </w:r>
    </w:p>
    <w:p>
      <w:pPr>
        <w:spacing w:after="0" w:before="0"/>
      </w:pPr>
      <w:r>
        <w:t xml:space="preserve"/>
      </w:r>
    </w:p>
    <w:p>
      <w:pPr>
        <w:pStyle w:val="ListParagraph"/>
        <w:numPr>
          <w:ilvl w:val="0"/>
          <w:numId w:val="2"/>
        </w:numPr>
        <w:spacing w:after="40" w:before="40"/>
      </w:pPr>
      <w:r>
        <w:rPr>
          <w:rFonts w:ascii="Arial" w:cs="Arial" w:eastAsia="Arial" w:hAnsi="Arial"/>
          <w:sz w:val="20"/>
          <w:szCs w:val="20"/>
        </w:rPr>
        <w:t xml:space="preserve">Knowingly providing false or incomplete information during an assessment.</w:t>
      </w:r>
    </w:p>
    <w:p>
      <w:pPr>
        <w:pStyle w:val="ListParagraph"/>
        <w:numPr>
          <w:ilvl w:val="0"/>
          <w:numId w:val="2"/>
        </w:numPr>
        <w:spacing w:after="40" w:before="40"/>
      </w:pPr>
      <w:r>
        <w:rPr>
          <w:rFonts w:ascii="Arial" w:cs="Arial" w:eastAsia="Arial" w:hAnsi="Arial"/>
          <w:sz w:val="20"/>
          <w:szCs w:val="20"/>
        </w:rPr>
        <w:t xml:space="preserve">Pressuring other participants to change their scores.</w:t>
      </w:r>
    </w:p>
    <w:p>
      <w:pPr>
        <w:pStyle w:val="ListParagraph"/>
        <w:numPr>
          <w:ilvl w:val="0"/>
          <w:numId w:val="2"/>
        </w:numPr>
        <w:spacing w:after="40" w:before="40"/>
      </w:pPr>
      <w:r>
        <w:rPr>
          <w:rFonts w:ascii="Arial" w:cs="Arial" w:eastAsia="Arial" w:hAnsi="Arial"/>
          <w:sz w:val="20"/>
          <w:szCs w:val="20"/>
        </w:rPr>
        <w:t xml:space="preserve">Deploying an agent that has received a RED or AMBER verdict without a completed re-assessment.</w:t>
      </w:r>
    </w:p>
    <w:p>
      <w:pPr>
        <w:pStyle w:val="ListParagraph"/>
        <w:numPr>
          <w:ilvl w:val="0"/>
          <w:numId w:val="2"/>
        </w:numPr>
        <w:spacing w:after="40" w:before="40"/>
      </w:pPr>
      <w:r>
        <w:rPr>
          <w:rFonts w:ascii="Arial" w:cs="Arial" w:eastAsia="Arial" w:hAnsi="Arial"/>
          <w:sz w:val="20"/>
          <w:szCs w:val="20"/>
        </w:rPr>
        <w:t xml:space="preserve">Modifying an agent’s scope, data access, or oversight model after approval without triggering a re-assessment.</w:t>
      </w:r>
    </w:p>
    <w:p>
      <w:pPr>
        <w:pStyle w:val="ListParagraph"/>
        <w:numPr>
          <w:ilvl w:val="0"/>
          <w:numId w:val="2"/>
        </w:numPr>
        <w:spacing w:after="40" w:before="40"/>
      </w:pPr>
      <w:r>
        <w:rPr>
          <w:rFonts w:ascii="Arial" w:cs="Arial" w:eastAsia="Arial" w:hAnsi="Arial"/>
          <w:sz w:val="20"/>
          <w:szCs w:val="20"/>
        </w:rPr>
        <w:t xml:space="preserve">Disabling or bypassing the logging events defined in the assessment’s JSON tags.</w:t>
      </w:r>
    </w:p>
    <w:p>
      <w:pPr>
        <w:pStyle w:val="ListParagraph"/>
        <w:numPr>
          <w:ilvl w:val="0"/>
          <w:numId w:val="2"/>
        </w:numPr>
        <w:spacing w:after="40" w:before="40"/>
      </w:pPr>
      <w:r>
        <w:rPr>
          <w:rFonts w:ascii="Arial" w:cs="Arial" w:eastAsia="Arial" w:hAnsi="Arial"/>
          <w:sz w:val="20"/>
          <w:szCs w:val="20"/>
        </w:rPr>
        <w:t xml:space="preserve">Suppressing or omitting attention points from the assessment report.</w:t>
      </w:r>
    </w:p>
    <w:p>
      <w:pPr>
        <w:pStyle w:val="ListParagraph"/>
        <w:numPr>
          <w:ilvl w:val="0"/>
          <w:numId w:val="2"/>
        </w:numPr>
        <w:spacing w:after="40" w:before="40"/>
      </w:pPr>
      <w:r>
        <w:rPr>
          <w:rFonts w:ascii="Arial" w:cs="Arial" w:eastAsia="Arial" w:hAnsi="Arial"/>
          <w:sz w:val="20"/>
          <w:szCs w:val="20"/>
        </w:rPr>
        <w:t xml:space="preserve">Conducting an assessment without the presence of at least one independent assessor (i.e., someone other than the agent owner).</w:t>
      </w:r>
    </w:p>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9. Review and Updates</w:t>
      </w:r>
    </w:p>
    <w:p>
      <w:pPr>
        <w:spacing w:after="80" w:before="80"/>
        <w:jc w:val="both"/>
      </w:pPr>
      <w:r>
        <w:rPr>
          <w:rFonts w:ascii="Arial" w:cs="Arial" w:eastAsia="Arial" w:hAnsi="Arial"/>
          <w:sz w:val="20"/>
          <w:szCs w:val="20"/>
        </w:rPr>
        <w:t xml:space="preserve">This Code of Conduct will be reviewed at minimum every six months, or immediately following any significant incident involving a deployed agent. Proposed changes must be submitted to the project lead and agreed by consensus before taking effect.</w:t>
      </w:r>
    </w:p>
    <w:p>
      <w:pPr>
        <w:spacing w:after="0" w:before="0"/>
      </w:pPr>
      <w:r>
        <w:t xml:space="preserve"/>
      </w:r>
    </w:p>
    <w:p>
      <w:pPr>
        <w:spacing w:after="80" w:before="80"/>
        <w:jc w:val="both"/>
      </w:pPr>
      <w:r>
        <w:rPr>
          <w:rFonts w:ascii="Arial" w:cs="Arial" w:eastAsia="Arial" w:hAnsi="Arial"/>
          <w:sz w:val="20"/>
          <w:szCs w:val="20"/>
        </w:rPr>
        <w:t xml:space="preserve">The version number and date on this document indicate the current authoritative edition. Previous versions are retained for audit purposes.</w:t>
      </w:r>
    </w:p>
    <w:p>
      <w:pPr>
        <w:pBdr>
          <w:bottom w:val="single" w:color="CCCCCC" w:sz="4" w:space="1"/>
        </w:pBdr>
        <w:spacing w:after="160" w:before="160"/>
      </w:pPr>
      <w:r>
        <w:t xml:space="preserve"/>
      </w:r>
    </w:p>
    <w:p>
      <w:pPr>
        <w:pStyle w:val="Heading1"/>
        <w:pBdr>
          <w:bottom w:val="single" w:color="2E5FAC" w:sz="8" w:space="4"/>
        </w:pBdr>
        <w:spacing w:after="160" w:before="320"/>
      </w:pPr>
      <w:r>
        <w:rPr>
          <w:rFonts w:ascii="Arial" w:cs="Arial" w:eastAsia="Arial" w:hAnsi="Arial"/>
          <w:b/>
          <w:bCs/>
          <w:color w:val="1B3A6B"/>
          <w:sz w:val="28"/>
          <w:szCs w:val="28"/>
        </w:rPr>
        <w:t xml:space="preserve">Acknowledgement</w:t>
      </w:r>
    </w:p>
    <w:p>
      <w:pPr>
        <w:spacing w:after="80" w:before="80"/>
        <w:jc w:val="left"/>
      </w:pPr>
      <w:r>
        <w:rPr>
          <w:rFonts w:ascii="Arial" w:cs="Arial" w:eastAsia="Arial" w:hAnsi="Arial"/>
          <w:sz w:val="20"/>
          <w:szCs w:val="20"/>
        </w:rPr>
        <w:t xml:space="preserve">By participating in the AI Agent Assessment Project, all contributors agree to uphold the principles and responsibilities set out in this document.</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left w:val="none"/>
              <w:bottom w:val="none"/>
              <w:right w:val="none"/>
            </w:tcBorders>
          </w:tcPr>
          <w:p>
            <w:pPr>
              <w:pBdr>
                <w:bottom w:val="single" w:color="333333" w:sz="4"/>
              </w:pBdr>
            </w:pPr>
            <w:r>
              <w:rPr>
                <w:sz w:val="20"/>
                <w:szCs w:val="20"/>
              </w:rPr>
              <w:t xml:space="preserve"> </w:t>
            </w:r>
          </w:p>
          <w:p>
            <w:r>
              <w:rPr>
                <w:rFonts w:ascii="Arial" w:cs="Arial" w:eastAsia="Arial" w:hAnsi="Arial"/>
                <w:color w:val="888888"/>
                <w:sz w:val="18"/>
                <w:szCs w:val="18"/>
              </w:rPr>
              <w:t xml:space="preserve">Name &amp; signature</w:t>
            </w:r>
          </w:p>
          <w:p>
            <w:pPr>
              <w:spacing w:after="0" w:before="0"/>
            </w:pPr>
            <w:r>
              <w:t xml:space="preserve"/>
            </w:r>
          </w:p>
          <w:p>
            <w:pPr>
              <w:pBdr>
                <w:bottom w:val="single" w:color="333333" w:sz="4"/>
              </w:pBdr>
            </w:pPr>
            <w:r>
              <w:rPr>
                <w:sz w:val="20"/>
                <w:szCs w:val="20"/>
              </w:rPr>
              <w:t xml:space="preserve"> </w:t>
            </w:r>
          </w:p>
          <w:p>
            <w:r>
              <w:rPr>
                <w:rFonts w:ascii="Arial" w:cs="Arial" w:eastAsia="Arial" w:hAnsi="Arial"/>
                <w:color w:val="888888"/>
                <w:sz w:val="18"/>
                <w:szCs w:val="18"/>
              </w:rPr>
              <w:t xml:space="preserve">Role</w:t>
            </w:r>
          </w:p>
        </w:tc>
        <w:tc>
          <w:tcPr>
            <w:tcW w:type="dxa" w:w="360"/>
            <w:tcBorders>
              <w:top w:val="none"/>
              <w:left w:val="none"/>
              <w:bottom w:val="none"/>
              <w:right w:val="none"/>
            </w:tcBorders>
          </w:tcPr>
          <w:p>
            <w:r>
              <w:t xml:space="preserve"/>
            </w:r>
          </w:p>
        </w:tc>
        <w:tc>
          <w:tcPr>
            <w:tcW w:type="dxa" w:w="4500"/>
            <w:tcBorders>
              <w:top w:val="none"/>
              <w:left w:val="none"/>
              <w:bottom w:val="none"/>
              <w:right w:val="none"/>
            </w:tcBorders>
          </w:tcPr>
          <w:p>
            <w:pPr>
              <w:pBdr>
                <w:bottom w:val="single" w:color="333333" w:sz="4"/>
              </w:pBdr>
            </w:pPr>
            <w:r>
              <w:rPr>
                <w:sz w:val="20"/>
                <w:szCs w:val="20"/>
              </w:rPr>
              <w:t xml:space="preserve"> </w:t>
            </w:r>
          </w:p>
          <w:p>
            <w:r>
              <w:rPr>
                <w:rFonts w:ascii="Arial" w:cs="Arial" w:eastAsia="Arial" w:hAnsi="Arial"/>
                <w:color w:val="888888"/>
                <w:sz w:val="18"/>
                <w:szCs w:val="18"/>
              </w:rPr>
              <w:t xml:space="preserve">Date</w:t>
            </w:r>
          </w:p>
          <w:p>
            <w:pPr>
              <w:spacing w:after="0" w:before="0"/>
            </w:pPr>
            <w:r>
              <w:t xml:space="preserve"/>
            </w:r>
          </w:p>
          <w:p>
            <w:pPr>
              <w:pBdr>
                <w:bottom w:val="single" w:color="333333" w:sz="4"/>
              </w:pBdr>
            </w:pPr>
            <w:r>
              <w:rPr>
                <w:sz w:val="20"/>
                <w:szCs w:val="20"/>
              </w:rPr>
              <w:t xml:space="preserve"> </w:t>
            </w:r>
          </w:p>
          <w:p>
            <w:r>
              <w:rPr>
                <w:rFonts w:ascii="Arial" w:cs="Arial" w:eastAsia="Arial" w:hAnsi="Arial"/>
                <w:color w:val="888888"/>
                <w:sz w:val="18"/>
                <w:szCs w:val="18"/>
              </w:rPr>
              <w:t xml:space="preserve">Organisation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6" w:space="4"/>
      </w:pBdr>
    </w:pPr>
    <w:r>
      <w:rPr>
        <w:rFonts w:ascii="Arial" w:cs="Arial" w:eastAsia="Arial" w:hAnsi="Arial"/>
        <w:b/>
        <w:bCs/>
        <w:color w:val="1B3A6B"/>
        <w:sz w:val="18"/>
        <w:szCs w:val="18"/>
      </w:rPr>
      <w:t xml:space="preserve">AI Agent Assessment Project</w:t>
    </w:r>
    <w:r>
      <w:rPr>
        <w:rFonts w:ascii="Arial" w:cs="Arial" w:eastAsia="Arial" w:hAnsi="Arial"/>
        <w:color w:val="666666"/>
        <w:sz w:val="18"/>
        <w:szCs w:val="18"/>
      </w:rPr>
      <w:t xml:space="preserve">   |   Code of Conduct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FA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2026-04-11T10:49:20.981Z</dcterms:created>
  <dcterms:modified xsi:type="dcterms:W3CDTF">2026-04-11T10:49:20.981Z</dcterms:modified>
</cp:coreProperties>
</file>

<file path=docProps/custom.xml><?xml version="1.0" encoding="utf-8"?>
<Properties xmlns="http://schemas.openxmlformats.org/officeDocument/2006/custom-properties" xmlns:vt="http://schemas.openxmlformats.org/officeDocument/2006/docPropsVTypes"/>
</file>