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TMCC AI Security Standard – Discovery Q&amp;A Summary</w:t>
      </w:r>
    </w:p>
    <w:p>
      <w:pPr>
        <w:spacing w:after="120"/>
      </w:pPr>
      <w:r>
        <w:rPr>
          <w:color w:val="595959"/>
        </w:rPr>
        <w:t xml:space="preserve">AI security standards review · 22 September 2026 · Deloitte / TMCC (TFS)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Questions and answers from the discovery call, grouped by domain. Attribution is approximate – the transcript does not identify speakers reliably.</w:t>
      </w:r>
    </w:p>
    <w:p>
      <w:pPr>
        <w:pStyle w:val="Heading1"/>
      </w:pPr>
      <w:r>
        <w:t xml:space="preserve">1. Scope &amp; AI Governance Context</w:t>
      </w:r>
    </w:p>
    <w:p>
      <w:pPr>
        <w:spacing w:after="120"/>
      </w:pPr>
      <w:r>
        <w:t xml:space="preserve">TMCC asked to keep the engagement focused on the AI security standard and the exception process. Broader AI governance is in flux between first- and second-line risk, and the C-suite is holding an AI governance day at Deloitte University in November, so governance work may change significantly.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does the current TMCC AI governance program look like?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flux. First- and second-line risk partners are still deciding the right approach. Beyond the draft governance documents already shared, nothing is settled.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Should the engagement address AI governance or the security standard?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Focus on the AI security standard, what inventory it needs, and how exceptions work. Governance may be "blown up" after the November C-suite session.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does the standard relate to NIST AI RMF functions?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 focuses on the protection side; governance, inventory and non-security risk items live in policy and the standard will point to them.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 / TMCC – Cyber GRC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TMNA AI governance in scope (SOW wording suggested review)?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No. TFS is separate from TMNA; TMNA governance stays with TMNA and does not apply here.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Engagement scope = AI security standard + exception process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is happening "out of order" – no governance policy yet to inform the standard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TMNA out of scope; confirm SOW language</w:t>
      </w:r>
    </w:p>
    <w:p>
      <w:pPr>
        <w:pStyle w:val="Heading1"/>
      </w:pPr>
      <w:r>
        <w:t xml:space="preserve">2. Frameworks &amp; Standards Alignment</w:t>
      </w:r>
    </w:p>
    <w:p>
      <w:pPr>
        <w:spacing w:after="120"/>
      </w:pPr>
      <w:r>
        <w:t xml:space="preserve">TMCC aligns to NIST CSF 2.0 and leans on NIST AI RMF for AI. No ISO 42001 or EU AI Act alignment. Client wants control-level depth and is interested in MITRE ATLAS and OWASP Top 10 for LLMs.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Which industry/regulatory standards were used to build the AI policy and standard?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Built from internal interviews, then stripped of items that were not security-focused or beyond current maturity.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Cyber GRC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there a common controls framework or security baseline?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NIST CSF 2.0; NIST AI RMF for AI.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other standards (ISO 42001, EU AI Act)?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No. Would like to explore MITRE ATLAS and OWASP Top 10 for LLMs to add control-level requirements; AI RMF alone is too high-level.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controls to NIST CSF 2.0 / AI RMF, with ATLAS and OWASP LLM Top 10 for depth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Controls must be concrete requirements, not "you must protect AI" statements</w:t>
      </w:r>
    </w:p>
    <w:p>
      <w:pPr>
        <w:pStyle w:val="Heading1"/>
      </w:pPr>
      <w:r>
        <w:t xml:space="preserve">3. AI Risk Management &amp; Taxonomy</w:t>
      </w:r>
    </w:p>
    <w:p>
      <w:pPr>
        <w:spacing w:after="120"/>
      </w:pPr>
      <w:r>
        <w:t xml:space="preserve">No standardized AI risk taxonomy. The only risk rating comes from an informal form BISOs have business units fill out, and the use case panel does not produce a real risk determination.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there an AI risk taxonomy in place?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standardized taxonomy. BISOs have business units fill out a risk form – the only source of any risk rating, not an official standard, and of limited quality.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does the AI use case panel assess risk?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 answers a questionnaire and the panel votes; there is no real risk determination and no clear record of what is approved.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the process run in a tool such as ServiceNow?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– "all good faith". Weekly Thursday meeting, requester presents a PowerPoint, no approval confirmation is sent. A BISO risk assessment was recently added, but low-risk ratings can be talked into.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taxonomy gap – relevant to exception severity and SLA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Solving the use case panel itself is out of scope, but it is a known tech-debt risk</w:t>
      </w:r>
    </w:p>
    <w:p>
      <w:pPr>
        <w:pStyle w:val="Heading1"/>
      </w:pPr>
      <w:r>
        <w:t xml:space="preserve">4. AI Inventory &amp; Use Cases</w:t>
      </w:r>
    </w:p>
    <w:p>
      <w:pPr>
        <w:spacing w:after="120"/>
      </w:pPr>
      <w:r>
        <w:t xml:space="preserve">There is no reliable AI inventory. Archer is planned as the future system of record but is months away. The use case list shared (AI Council / Power BI export) is best-effort and likely inaccurate.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there an inventory of AI technologies in use at TMCC?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use case list was uploaded – all cases that went through the AI Council. Accuracy is uncertain.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policy mentions Archer for inventory – is that in place?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yet. Archer is part of the AI governance revamp and is months away.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an asset management tool used to track AI tools/POCs?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Power BI export. All generative AI POCs are supposed to go through the council, but not everything does.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we get a more accurate list?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– send Ben an email and he will list the main sanctioned GenAI platforms and developer tools from memory. Will not cover every third-party AI instance.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Action: email Ben to request the use case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inventory as a dependency, not a given, in the standard</w:t>
      </w:r>
    </w:p>
    <w:p>
      <w:pPr>
        <w:pStyle w:val="Heading1"/>
      </w:pPr>
      <w:r>
        <w:t xml:space="preserve">5. AI Security Standard – Structure, Format &amp; Domains</w:t>
      </w:r>
    </w:p>
    <w:p>
      <w:pPr>
        <w:spacing w:after="120"/>
      </w:pPr>
      <w:r>
        <w:t xml:space="preserve">Format is fixed by second line and cannot change; content is fully open. The five current domains are a reasonable start, and Deloitte may restructure and extend up to 10 domains per the SOW. Avoid duplicating content that lives in other standards – reference it instead.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the format be changed?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– set by second line. Content can be changed freely.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the shared copy the required format?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No. The shared version is more user-friendly; use it for development. TMCC will share the company-required template (tables/columns).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Cyber GRC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Deloitte add domains beyond the current five?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Yes. Use whatever is more industry-standard and aligned with NIST; restructure if logical. Avoid going to ~30.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Cyber GRC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level of detail is expected? Should we reference other technical standards?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Define what is necessary, but avoid duplicating or rewording content from other standards – reference the core standard instead. Either approach is fine; existing standards will be shared.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Cyber GRC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there a higher-level policy the standard derives from?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– the Information Security Policy (lists each standard and its objective statement) and the WISP document (policies and standards scope). Both will be shared.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Cyber GRC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 standard assessment?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 broad and high-level; needs to go further on security. Should also cover design items such as Bedrock guardrails, IAM and agentic controls.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 to 10 security-relevant domains; exclude non-security domains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Request: InfoSec Policy, WISP, existing technical standards, required format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Reference, don't duplicate, controls defined elsewhere</w:t>
      </w:r>
    </w:p>
    <w:p>
      <w:pPr>
        <w:pStyle w:val="Heading1"/>
      </w:pPr>
      <w:r>
        <w:t xml:space="preserve">6. AI Categories &amp; Technology Scope</w:t>
      </w:r>
    </w:p>
    <w:p>
      <w:pPr>
        <w:spacing w:after="120"/>
      </w:pPr>
      <w:r>
        <w:t xml:space="preserve">The standard should be technology-agnostic but explicitly delineate which controls apply to which AI category. Agentic and identity requirements need special attention.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Should content be generic across AI technologies?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Yes, a good general direction. Client asked whether peers in financial services have separate GenAI and agentic standards.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do peers typically do?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common standard covering GenAI, agentic, low-code/no-code, with each control tagged to the technology it applies to.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Deloitte (Krishna)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Should AI categories be called out in the standard?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– call out the categories shared (generative AI, AI for developers, agentic, etc.), including identity requirements.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is "Workforce AI" defined?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 chatbot use (ChatGPT, Copilot – RAG/aggregation). IDE-based development and Copilot Studio agents fall under AI for developers / agentic.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would tools like Claude Cowork (non-developer building agents) fit?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Currently unsanctioned, so treated as developer use (policy circumvention). Could be hybrid developer/agentic, and eventually workforce if sanctioned.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Five categories: generative, workforce, developer, agentic, low-code/no-code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each control by applicable category</w:t>
      </w:r>
    </w:p>
    <w:p>
      <w:pPr>
        <w:pStyle w:val="Heading1"/>
      </w:pPr>
      <w:r>
        <w:t xml:space="preserve">7. Use Case Intake &amp; Security Questionnaire</w:t>
      </w:r>
    </w:p>
    <w:p>
      <w:pPr>
        <w:spacing w:after="120"/>
      </w:pPr>
      <w:r>
        <w:t xml:space="preserve">The current GenAI questionnaire is the only one in use and is rarely followed. Two new questionnaires are being built in parallel by governance. TMCC wants a short governance front-end plus category-specific security follow-up questions that map to security architecture patterns.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Are there questionnaires for use cases beyond GenAI?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yet. Governance is now building two new questionnaires in parallel. The shared one is what the AI Council panel uses today.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the questionnaire followed in practice?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– Ben has been through the panel ~7 times and only just saw the questions.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outcome is expected from the updated questionnaire (scoring, maturity, gap)?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initial intake (2–5 questions: AI category, data used, third party). Based on the category, security asks targeted follow-up questions aligned to the security architecture patterns (which Deloitte will review). Avoid 100 questions up front.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Design: category selection drives security follow-up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Align follow-ups to security architecture patterns</w:t>
      </w:r>
    </w:p>
    <w:p>
      <w:pPr>
        <w:pStyle w:val="Heading1"/>
      </w:pPr>
      <w:r>
        <w:t xml:space="preserve">8. Exception Management Process</w:t>
      </w:r>
    </w:p>
    <w:p>
      <w:pPr>
        <w:spacing w:after="120"/>
      </w:pPr>
      <w:r>
        <w:t xml:space="preserve">No AI exception process exists. The Cyber GRC team is building a standalone, InfoSec-wide exception standard outside Archer, modeled on the DLP exception approach. Five required checklist items: intake, assessment, approval, inventory/implementation, periodic review. Deloitte to design the workflow, intake questionnaire, RACI and severity-based SLAs.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there an existing exception process for AI?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No. Want an end-to-end process covering intake, approval, inventory and periodic review – reusable beyond AI.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we get existing exception documentation?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Karthik to ask Kylie for the draft exception deck (4–5 checklist items all InfoSec exception processes must meet).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 are the stakeholders?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unit manager approves first; then Productivity Security (SME, run by Brian) as first-line approver; possibly a second-level peer review (leadership or Cyber GRC). Business must not be the only approver; SMEs also need accountability.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 implements, monitors and expires exceptions?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Implementation depends on type – Cloud Security (e.g., AWS SCP), Productivity Security, or Security Engineering (e.g., CrowdStrike). Monitoring and expiration: Productivity Security.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Archer the system of record for exceptions?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No. Archer is a second-line function and too convoluted. Standalone InfoSec exception standard; Archer only for self-identified and larger risks. Tooling (ServiceNow, MS Forms) is flexible if the checklist is met.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Are SLAs / severity thresholds defined?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No. Deloitte to propose industry-based thresholds for review. Exception metrics would be a nice-to-have.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Should Deloitte draft the submission/assessment questionnaire?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Yes. Example: request to put PII into Copilot (violates "no PII in chatbots"). Questions should identify the exception and which controls it violates. Build as a ServiceNow catalog-ready item for later lift-and-shift.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Does the shared responsibility matrix cover exceptions?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– it covers standards approval. There is no RACI for exceptions; it can be created.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workflow diagram (decision points) → process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 RACI and severity-based SLAs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intake questionnaire in ServiceNow-ready format</w:t>
      </w:r>
    </w:p>
    <w:p>
      <w:pPr>
        <w:pStyle w:val="Heading1"/>
      </w:pPr>
      <w:r>
        <w:t xml:space="preserve">9. Collaboration &amp; Logistics</w:t>
      </w:r>
    </w:p>
    <w:p>
      <w:pPr>
        <w:spacing w:after="120"/>
      </w:pPr>
      <w:r>
        <w:t xml:space="preserve">Work will be iterative over the next 1–2 weeks in the shared Teams channel. Scheduling goes through Parisha; no calendar access.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8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Answered by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the call be recorded?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yet – Parisha's recording access is still pending.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Parisha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should deliverables live?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Teams folder: Deliverables &gt; AI Security Standard, with a Word document for joint editing instead of email.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Deloitte get calendar access?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(would require contractor onboarding). Schedule via Parisha; ping stakeholders directly for quick questions.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– Ben (AI Security)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Meeting minutes and RAID log to be updated by Deloitte</w:t>
      </w:r>
    </w:p>
    <w:p>
      <w:pPr>
        <w:pStyle w:val="Heading1"/>
      </w:pPr>
      <w:r>
        <w:t xml:space="preserve">Action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0"/>
        <w:gridCol w:w="3000"/>
      </w:tblGrid>
      <w:tr>
        <w:trPr>
          <w:tblHeader/>
        </w:trPr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Reach out to Kylie for the exception draft deck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Karthik (TMCC)</w:t>
            </w:r>
          </w:p>
        </w:tc>
      </w:tr>
      <w:tr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Ben to request the AI use case list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Deloitte</w:t>
            </w:r>
          </w:p>
        </w:tc>
      </w:tr>
      <w:tr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 InfoSec Policy, WISP, technical standards and required format template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TMCC (GRC)</w:t>
            </w:r>
          </w:p>
        </w:tc>
      </w:tr>
      <w:tr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Deliverables &gt; AI Security Standard folder in Teams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Deloitte / TMCC</w:t>
            </w:r>
          </w:p>
        </w:tc>
      </w:tr>
      <w:tr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up to 10 domains, exception workflow, RACI, SLAs and intake questionnaire; share iteratively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Deloitte</w:t>
            </w:r>
          </w:p>
        </w:tc>
      </w:tr>
      <w:tr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 meeting minutes and update RAID log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Deloitte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28"/>
      <w:szCs w:val="28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2026-09-22T19:24:22.427Z</dcterms:created>
  <dcterms:modified xsi:type="dcterms:W3CDTF">2026-09-22T19:24:22.438Z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