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TMCC AI Security Standard – Discovery Summary</w:t>
      </w:r>
    </w:p>
    <w:p>
      <w:pPr>
        <w:spacing w:after="120"/>
      </w:pPr>
      <w:r>
        <w:rPr>
          <w:color w:val="595959"/>
        </w:rPr>
        <w:t xml:space="preserve">AI security standards review · 22 September 2026 · Deloitte / TMCC (TFS)</w:t>
      </w:r>
    </w:p>
    <w:p>
      <w:pPr>
        <w:pStyle w:val="Heading1"/>
      </w:pPr>
      <w:r>
        <w:t xml:space="preserve">1. Scope &amp; AI Governance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governance is in flux: first- and second-line risk are still deciding the approach; only draft governance documents exist.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C-suite AI governance day at Deloitte University in November may change governance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Engagement focus: the AI security standard (protection side of NIST AI RMF) and the exception process. Governance, inventory and non-security risk stay in policy; the standard will reference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TMCC admits the work is "out of order" – there is no governance policy yet to inform the standard.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TMNA AI governance is out of scope; TFS only.</w:t>
      </w:r>
    </w:p>
    <w:p>
      <w:pPr>
        <w:pStyle w:val="Heading1"/>
      </w:pPr>
      <w:r>
        <w:t xml:space="preserve">2. Frameworks &amp; Standards Alignment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Baseline: NIST CSF 2.0; NIST AI RMF for 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ISO 42001 or EU AI Act alignment.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RMF is too high-level; client wants MITRE ATLAS and OWASP Top 10 for LLMs used to drive concrete control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content was built from internal interviews and trimmed of non-security and not-yet-mature items.</w:t>
      </w:r>
    </w:p>
    <w:p>
      <w:pPr>
        <w:pStyle w:val="Heading1"/>
      </w:pPr>
      <w:r>
        <w:t xml:space="preserve">3. AI Risk Management &amp; Taxonomy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standardized AI risk taxonomy.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only risk rating is an informal BISO risk form filled out by business units – not an official standard.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AI use case panel (weekly, Thursdays) runs on good faith: requester presents a PowerPoint, the panel votes, no risk determination, no approval confirmation. Low-risk ratings can be talked into.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Fixing the panel is out of scope, but it is a known source of tech debt.</w:t>
      </w:r>
    </w:p>
    <w:p>
      <w:pPr>
        <w:pStyle w:val="Heading1"/>
      </w:pPr>
      <w:r>
        <w:t xml:space="preserve">4. AI Inventory &amp; Use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reliable inventory. Archer is the planned system of record but is months away.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shared use case list (AI Council / Power BI export) is best-effort and likely inaccurate; not all POCs go through the council.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 will email a list of main sanctioned GenAI platforms and developer tools on request; it will not cover every third-party AI instance.</w:t>
      </w:r>
    </w:p>
    <w:p>
      <w:pPr>
        <w:pStyle w:val="Heading1"/>
      </w:pPr>
      <w:r>
        <w:t xml:space="preserve">5. AI Security Standard – Structure, Format &amp; Domains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 is fixed by second line; content is fully open to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shared copy is a user-friendly working version; TMCC will share the company-required template separately.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standard has 5 domains and is too broad; it needs more security depth, including design items such as Bedrock guardrails, IAM and agentic controls.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Deloitte may restructure and extend to up to 10 domains, aligned with NIST and industry practice (not ~30).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duplicating controls from other standards – reference the core standard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 documents: Information Security Policy (lists each standard and objective) and the WISP; both to be shared along with existing technical standards.</w:t>
      </w:r>
    </w:p>
    <w:p>
      <w:pPr>
        <w:pStyle w:val="Heading1"/>
      </w:pPr>
      <w:r>
        <w:t xml:space="preserve">6. AI Categories &amp; Technology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technology-agnostic standard, with each control tagged to the AI category it applies to (consistent with peer practice).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Categories to call out: generative AI, workforce AI, AI for developers, agentic AI, low-code/no-code.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Workforce AI = general chatbot use (ChatGPT, Copilot). IDE-based development and Copilot Studio agents = developer / agentic.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Agentic and identity requirements need explicit attention.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Non-developer agent tools (e.g., Claude Cowork) are unsanctioned today; treated as developer/agentic, possibly workforce if sanctioned later.</w:t>
      </w:r>
    </w:p>
    <w:p>
      <w:pPr>
        <w:pStyle w:val="Heading1"/>
      </w:pPr>
      <w:r>
        <w:t xml:space="preserve">7. Use Case Intake &amp; Security Questionnaire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current GenAI questionnaire is the only one in use and is rarely followed; governance is building two new questionnaires in parallel.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model: short governance intake (2–5 questions – AI category, data, third party), then category-specific security follow-up questions.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Follow-up questions should align with the security architecture patterns (to be reviewed by Deloitte) and avoid a long up-front questionnaire.</w:t>
      </w:r>
    </w:p>
    <w:p>
      <w:pPr>
        <w:pStyle w:val="Heading1"/>
      </w:pPr>
      <w:r>
        <w:t xml:space="preserve">8. Exception Management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AI exception process exists today.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Cyber GRC is building a standalone, InfoSec-wide exception standard outside Archer, modeled on the DLP exception approach. Archer remains only for self-identified and larger risks.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 checklist (Kylie/Brooke): intake, assessment, approval, inventory/implementation, periodic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flow: business unit manager → Productivity Security SME review (Brian's team) → optional second-level peer review (leadership or Cyber GRC). Business must not be the only approver; SMEs must also be accountable.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Implementation by exception type: Cloud Security (e.g., AWS SCP), Productivity Security, or Security Engineering (e.g., CrowdStrike). Monitoring and expiration: Productivity Security.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SLAs or severity thresholds defined; Deloitte to propose industry-based values. Exception metrics are a nice-to-have.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Deloitte to draft the intake/assessment questionnaire (example: PII into Copilot), built as a ServiceNow catalog-ready item.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existing responsibility matrix covers standards approval only; an exception RACI needs to be created.</w:t>
      </w:r>
    </w:p>
    <w:p>
      <w:pPr>
        <w:pStyle w:val="Heading1"/>
      </w:pPr>
      <w:r>
        <w:t xml:space="preserve">9. Collaboration &amp; Logistics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Iterative drafts over the next 1–2 weeks rather than one final delivery.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in the shared Teams folder: Deliverables &gt; AI Security Standard.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calendar access; schedule via Parisha and contact stakeholders directly for quick questions.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Recording is not available yet (Parisha's access pending).</w:t>
      </w:r>
    </w:p>
    <w:p>
      <w:pPr>
        <w:pStyle w:val="Heading1"/>
      </w:pPr>
      <w:r>
        <w:t xml:space="preserve">Action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Reach out to Kylie for the exception draft deck — Karthik (TMCC)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Ben to request the AI use case list — Deloitte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governance questionnaires in development — Ben (TMCC)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InfoSec Policy, WISP, technical standards and required format template — TMCC (GRC)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Deliverables &gt; AI Security Standard folder in Teams — Deloitte / TMCC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 up to 10 domains, exception workflow, RACI, SLAs and intake questionnaire; share iteratively — Deloitte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meeting minutes and update RAID log — Deloitte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3864"/>
      <w:sz w:val="28"/>
      <w:szCs w:val="28"/>
    </w:rPr>
  </w:style>
  <w:style w:type="paragraph" w:styleId="Title">
    <w:name w:val="Title"/>
    <w:basedOn w:val="Normal"/>
    <w:pPr>
      <w:spacing w:after="80"/>
    </w:pPr>
    <w:rPr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2026-09-22T19:28:23.334Z</dcterms:created>
  <dcterms:modified xsi:type="dcterms:W3CDTF">2026-09-22T19:28:23.334Z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