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TMCC AI Security Patterns — Research by AI Category (Agentic &amp; MCP focus)</w:t>
      </w:r>
    </w:p>
    <w:p>
      <w:pPr>
        <w:spacing w:after="40"/>
      </w:pPr>
      <w:r>
        <w:rPr>
          <w:rFonts w:ascii="Calibri" w:cs="Calibri" w:eastAsia="Calibri" w:hAnsi="Calibri"/>
          <w:b/>
          <w:bCs/>
        </w:rPr>
        <w:t xml:space="preserve">Status:</w:t>
      </w:r>
      <w:r>
        <w:rPr>
          <w:rFonts w:ascii="Calibri" w:cs="Calibri" w:eastAsia="Calibri" w:hAnsi="Calibri"/>
        </w:rPr>
        <w:t xml:space="preserve"> Draft v2.0 — 2026-09-21</w:t>
      </w:r>
    </w:p>
    <w:p>
      <w:pPr>
        <w:spacing w:after="40"/>
      </w:pPr>
      <w:r>
        <w:rPr>
          <w:rFonts w:ascii="Calibri" w:cs="Calibri" w:eastAsia="Calibri" w:hAnsi="Calibri"/>
          <w:b/>
          <w:bCs/>
        </w:rPr>
        <w:t xml:space="preserve">Owner:</w:t>
      </w:r>
      <w:r>
        <w:rPr>
          <w:rFonts w:ascii="Calibri" w:cs="Calibri" w:eastAsia="Calibri" w:hAnsi="Calibri"/>
        </w:rPr>
        <w:t xml:space="preserve"> AI Governance — architecture patterns workstream (Stas / Krishna co-own, per 09/14 internal prep)</w:t>
      </w:r>
    </w:p>
    <w:p>
      <w:pPr>
        <w:spacing w:after="40"/>
      </w:pPr>
      <w:r>
        <w:rPr>
          <w:rFonts w:ascii="Calibri" w:cs="Calibri" w:eastAsia="Calibri" w:hAnsi="Calibri"/>
          <w:b/>
          <w:bCs/>
        </w:rPr>
        <w:t xml:space="preserve">Feeds:</w:t>
      </w:r>
      <w:r>
        <w:rPr>
          <w:rFonts w:ascii="Calibri" w:cs="Calibri" w:eastAsia="Calibri" w:hAnsi="Calibri"/>
        </w:rPr>
        <w:t xml:space="preserve"> D2 (pattern scope) → D3 (patterns), per-category governance question sets (kickoff ask), D6 criteria (MCP/AI gateway), D7 (SALT), D4/D5 (standard)</w:t>
      </w:r>
    </w:p>
    <w:p>
      <w:pPr>
        <w:spacing w:after="40"/>
      </w:pPr>
      <w:r>
        <w:rPr>
          <w:rFonts w:ascii="Calibri" w:cs="Calibri" w:eastAsia="Calibri" w:hAnsi="Calibri"/>
          <w:b/>
          <w:bCs/>
        </w:rPr>
        <w:t xml:space="preserve">Builds on (not repeated here):</w:t>
      </w:r>
      <w:r>
        <w:rPr>
          <w:rFonts w:ascii="Calibri" w:cs="Calibri" w:eastAsia="Calibri" w:hAnsi="Calibri"/>
        </w:rPr>
        <w:t xml:space="preserve"> </w:t>
      </w:r>
      <w:r>
        <w:rPr>
          <w:rFonts w:ascii="Consolas" w:cs="Consolas" w:eastAsia="Consolas" w:hAnsi="Consolas"/>
          <w:sz w:val="19"/>
          <w:szCs w:val="19"/>
        </w:rPr>
        <w:t xml:space="preserve">AI-Security-Patterns-Catalog.md</w:t>
      </w:r>
      <w:r>
        <w:rPr>
          <w:rFonts w:ascii="Calibri" w:cs="Calibri" w:eastAsia="Calibri" w:hAnsi="Calibri"/>
        </w:rPr>
        <w:t xml:space="preserve"> (gateway, input, output, data, ops patterns), </w:t>
      </w:r>
      <w:r>
        <w:rPr>
          <w:rFonts w:ascii="Consolas" w:cs="Consolas" w:eastAsia="Consolas" w:hAnsi="Consolas"/>
          <w:sz w:val="19"/>
          <w:szCs w:val="19"/>
        </w:rPr>
        <w:t xml:space="preserve">AI-Governance-Extended-Topics.md</w:t>
      </w:r>
      <w:r>
        <w:rPr>
          <w:rFonts w:ascii="Calibri" w:cs="Calibri" w:eastAsia="Calibri" w:hAnsi="Calibri"/>
        </w:rPr>
        <w:t xml:space="preserve"> (MCP proxy basics, Kiro CVE-2026-0830, Salesforce/Tableau trust layer, Q Business ACL Analyzer, SALT AG-SPM/AG-DR), </w:t>
      </w:r>
      <w:r>
        <w:rPr>
          <w:rFonts w:ascii="Consolas" w:cs="Consolas" w:eastAsia="Consolas" w:hAnsi="Consolas"/>
          <w:sz w:val="19"/>
          <w:szCs w:val="19"/>
        </w:rPr>
        <w:t xml:space="preserve">Deloitte-SOW-AI-Security-Architecture.md</w:t>
      </w:r>
      <w:r>
        <w:rPr>
          <w:rFonts w:ascii="Calibri" w:cs="Calibri" w:eastAsia="Calibri" w:hAnsi="Calibri"/>
        </w:rPr>
        <w:t xml:space="preserve">.</w:t>
      </w:r>
    </w:p>
    <w:p>
      <w:pPr>
        <w:pBdr>
          <w:left w:val="single" w:color="E69500" w:sz="18" w:space="6"/>
        </w:pBdr>
        <w:shd w:fill="FFF4E5" w:color="auto" w:val="clear"/>
        <w:spacing w:after="160" w:before="120"/>
      </w:pPr>
      <w:r>
        <w:rPr>
          <w:rFonts w:ascii="Calibri" w:cs="Calibri" w:eastAsia="Calibri" w:hAnsi="Calibri"/>
          <w:i/>
          <w:iCs/>
        </w:rPr>
        <w:t xml:space="preserve">Internal working doc. Vendor capability claims are as published and not validated against TMCC licensing. Scrub before any client-facing use.</w:t>
      </w:r>
    </w:p>
    <w:p>
      <w:pPr>
        <w:pStyle w:val="Heading1"/>
      </w:pPr>
      <w:r>
        <w:rPr>
          <w:rFonts w:ascii="Calibri" w:cs="Calibri" w:eastAsia="Calibri" w:hAnsi="Calibri"/>
        </w:rPr>
        <w:t xml:space="preserve">1. What the meetings changed (engagement context for this research)</w:t>
      </w:r>
    </w:p>
    <w:tbl>
      <w:tblPr>
        <w:tblW w:type="dxa" w:w="138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1"/>
        <w:gridCol w:w="7356"/>
        <w:gridCol w:w="3947"/>
      </w:tblGrid>
      <w:tr>
        <w:trPr>
          <w:tblHeader/>
        </w:trPr>
        <w:tc>
          <w:tcPr>
            <w:tcW w:type="dxa" w:w="252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Date / meeting</w:t>
            </w:r>
          </w:p>
        </w:tc>
        <w:tc>
          <w:tcPr>
            <w:tcW w:type="dxa" w:w="735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What was said</w:t>
            </w:r>
          </w:p>
        </w:tc>
        <w:tc>
          <w:tcPr>
            <w:tcW w:type="dxa" w:w="394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Impact on this research</w:t>
            </w:r>
          </w:p>
        </w:tc>
      </w:tr>
      <w:tr>
        <w:trPr>
          <w:cantSplit/>
        </w:trPr>
        <w:tc>
          <w:tcPr>
            <w:tcW w:type="dxa" w:w="25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09/14 — Engagement kickoff with delivery team</w:t>
            </w:r>
          </w:p>
        </w:tc>
        <w:tc>
          <w:tcPr>
            <w:tcW w:type="dxa" w:w="73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Objective 1 adjusted: add </w:t>
            </w:r>
            <w:r>
              <w:rPr>
                <w:rFonts w:ascii="Calibri" w:cs="Calibri" w:eastAsia="Calibri" w:hAnsi="Calibri"/>
                <w:b/>
                <w:bCs/>
                <w:sz w:val="17"/>
                <w:szCs w:val="17"/>
              </w:rPr>
              <w:t xml:space="preserve">AI governance question sets per AI category (workforce, developer, agent, GenAI)</w:t>
            </w:r>
            <w:r>
              <w:rPr>
                <w:rFonts w:ascii="Calibri" w:cs="Calibri" w:eastAsia="Calibri" w:hAnsi="Calibri"/>
                <w:sz w:val="17"/>
                <w:szCs w:val="17"/>
              </w:rPr>
              <w:t xml:space="preserve">, not just pattern reviews</w:t>
            </w:r>
          </w:p>
        </w:tc>
        <w:tc>
          <w:tcPr>
            <w:tcW w:type="dxa" w:w="39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§5 structures patterns + question sets by category</w:t>
            </w:r>
          </w:p>
        </w:tc>
      </w:tr>
      <w:tr>
        <w:trPr>
          <w:cantSplit/>
        </w:trPr>
        <w:tc>
          <w:tcPr>
            <w:tcW w:type="dxa" w:w="252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09/14 — Kickoff</w:t>
            </w:r>
          </w:p>
        </w:tc>
        <w:tc>
          <w:tcPr>
            <w:tcW w:type="dxa" w:w="735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b/>
                <w:bCs/>
                <w:sz w:val="17"/>
                <w:szCs w:val="17"/>
              </w:rPr>
              <w:t xml:space="preserve">Mandiant</w:t>
            </w:r>
            <w:r>
              <w:rPr>
                <w:rFonts w:ascii="Calibri" w:cs="Calibri" w:eastAsia="Calibri" w:hAnsi="Calibri"/>
                <w:sz w:val="17"/>
                <w:szCs w:val="17"/>
              </w:rPr>
              <w:t xml:space="preserve"> delivering 3–4 AI security architecture pattern drafts, targeted late Sept (pulled in from Oct 5); </w:t>
            </w:r>
            <w:r>
              <w:rPr>
                <w:rFonts w:ascii="Calibri" w:cs="Calibri" w:eastAsia="Calibri" w:hAnsi="Calibri"/>
                <w:b/>
                <w:bCs/>
                <w:sz w:val="17"/>
                <w:szCs w:val="17"/>
              </w:rPr>
              <w:t xml:space="preserve">Nick</w:t>
            </w:r>
            <w:r>
              <w:rPr>
                <w:rFonts w:ascii="Calibri" w:cs="Calibri" w:eastAsia="Calibri" w:hAnsi="Calibri"/>
                <w:sz w:val="17"/>
                <w:szCs w:val="17"/>
              </w:rPr>
              <w:t xml:space="preserve"> to share ADR docs in the interim; start Objective 2 (standard) first</w:t>
            </w:r>
          </w:p>
        </w:tc>
        <w:tc>
          <w:tcPr>
            <w:tcW w:type="dxa" w:w="3947"/>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Avoid duplicating Mandiant; check §7 overlap before investing effort</w:t>
            </w:r>
          </w:p>
        </w:tc>
      </w:tr>
      <w:tr>
        <w:trPr>
          <w:cantSplit/>
        </w:trPr>
        <w:tc>
          <w:tcPr>
            <w:tcW w:type="dxa" w:w="25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09/14 — Kickoff</w:t>
            </w:r>
          </w:p>
        </w:tc>
        <w:tc>
          <w:tcPr>
            <w:tcW w:type="dxa" w:w="73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Objective 3 adds a </w:t>
            </w:r>
            <w:r>
              <w:rPr>
                <w:rFonts w:ascii="Calibri" w:cs="Calibri" w:eastAsia="Calibri" w:hAnsi="Calibri"/>
                <w:b/>
                <w:bCs/>
                <w:sz w:val="17"/>
                <w:szCs w:val="17"/>
              </w:rPr>
              <w:t xml:space="preserve">lightweight review of "AI Scratch Guardian"'s new AI gateway</w:t>
            </w:r>
            <w:r>
              <w:rPr>
                <w:rFonts w:ascii="Calibri" w:cs="Calibri" w:eastAsia="Calibri" w:hAnsi="Calibri"/>
                <w:sz w:val="17"/>
                <w:szCs w:val="17"/>
              </w:rPr>
              <w:t xml:space="preserve"> (likely IBM Guardium AI Security — confirm name) — not a full PoC</w:t>
            </w:r>
          </w:p>
        </w:tc>
        <w:tc>
          <w:tcPr>
            <w:tcW w:type="dxa" w:w="39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Added to §6 / D6 longlist</w:t>
            </w:r>
          </w:p>
        </w:tc>
      </w:tr>
      <w:tr>
        <w:trPr>
          <w:cantSplit/>
        </w:trPr>
        <w:tc>
          <w:tcPr>
            <w:tcW w:type="dxa" w:w="252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09/14 — Kickoff</w:t>
            </w:r>
          </w:p>
        </w:tc>
        <w:tc>
          <w:tcPr>
            <w:tcW w:type="dxa" w:w="735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Deloitte IAM team to be looped into Objective 3</w:t>
            </w:r>
          </w:p>
        </w:tc>
        <w:tc>
          <w:tcPr>
            <w:tcW w:type="dxa" w:w="3947"/>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Agent identity pattern (A1/A2) needs Sarthak Patel alignment</w:t>
            </w:r>
          </w:p>
        </w:tc>
      </w:tr>
      <w:tr>
        <w:trPr>
          <w:cantSplit/>
        </w:trPr>
        <w:tc>
          <w:tcPr>
            <w:tcW w:type="dxa" w:w="25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09/14 — Internal prep</w:t>
            </w:r>
          </w:p>
        </w:tc>
        <w:tc>
          <w:tcPr>
            <w:tcW w:type="dxa" w:w="73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Stas + Krishna co-own architecture patterns; research </w:t>
            </w:r>
            <w:r>
              <w:rPr>
                <w:rFonts w:ascii="Calibri" w:cs="Calibri" w:eastAsia="Calibri" w:hAnsi="Calibri"/>
                <w:b/>
                <w:bCs/>
                <w:sz w:val="17"/>
                <w:szCs w:val="17"/>
              </w:rPr>
              <w:t xml:space="preserve">AI security architecture patterns and "AI Raffles"</w:t>
            </w:r>
            <w:r>
              <w:rPr>
                <w:rFonts w:ascii="Calibri" w:cs="Calibri" w:eastAsia="Calibri" w:hAnsi="Calibri"/>
                <w:sz w:val="17"/>
                <w:szCs w:val="17"/>
              </w:rPr>
              <w:t xml:space="preserve"> (unclear term — likely a transcription error, confirm)</w:t>
            </w:r>
          </w:p>
        </w:tc>
        <w:tc>
          <w:tcPr>
            <w:tcW w:type="dxa" w:w="39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This doc</w:t>
            </w:r>
          </w:p>
        </w:tc>
      </w:tr>
      <w:tr>
        <w:trPr>
          <w:cantSplit/>
        </w:trPr>
        <w:tc>
          <w:tcPr>
            <w:tcW w:type="dxa" w:w="252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09/15 — Sign-off process and questionnaires</w:t>
            </w:r>
          </w:p>
        </w:tc>
        <w:tc>
          <w:tcPr>
            <w:tcW w:type="dxa" w:w="735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b/>
                <w:bCs/>
                <w:sz w:val="17"/>
                <w:szCs w:val="17"/>
              </w:rPr>
              <w:t xml:space="preserve">Pattern scope reduced from 8 to 4 (confirmed)</w:t>
            </w:r>
            <w:r>
              <w:rPr>
                <w:rFonts w:ascii="Calibri" w:cs="Calibri" w:eastAsia="Calibri" w:hAnsi="Calibri"/>
                <w:sz w:val="17"/>
                <w:szCs w:val="17"/>
              </w:rPr>
              <w:t xml:space="preserve">; model vulnerabilities (OWASP-style MVE) </w:t>
            </w:r>
            <w:r>
              <w:rPr>
                <w:rFonts w:ascii="Calibri" w:cs="Calibri" w:eastAsia="Calibri" w:hAnsi="Calibri"/>
                <w:b/>
                <w:bCs/>
                <w:sz w:val="17"/>
                <w:szCs w:val="17"/>
              </w:rPr>
              <w:t xml:space="preserve">out of scope</w:t>
            </w:r>
            <w:r>
              <w:rPr>
                <w:rFonts w:ascii="Calibri" w:cs="Calibri" w:eastAsia="Calibri" w:hAnsi="Calibri"/>
                <w:sz w:val="17"/>
                <w:szCs w:val="17"/>
              </w:rPr>
              <w:t xml:space="preserve">; Guardium paper review in scope (internal owner call first); Moksh drafting </w:t>
            </w:r>
            <w:r>
              <w:rPr>
                <w:rFonts w:ascii="Calibri" w:cs="Calibri" w:eastAsia="Calibri" w:hAnsi="Calibri"/>
                <w:b/>
                <w:bCs/>
                <w:sz w:val="17"/>
                <w:szCs w:val="17"/>
              </w:rPr>
              <w:t xml:space="preserve">MCP technologies requirements</w:t>
            </w:r>
            <w:r>
              <w:rPr>
                <w:rFonts w:ascii="Calibri" w:cs="Calibri" w:eastAsia="Calibri" w:hAnsi="Calibri"/>
                <w:sz w:val="17"/>
                <w:szCs w:val="17"/>
              </w:rPr>
              <w:t xml:space="preserve"> (50–60% by end of week); Phase 3 starts ~Oct 5</w:t>
            </w:r>
          </w:p>
        </w:tc>
        <w:tc>
          <w:tcPr>
            <w:tcW w:type="dxa" w:w="3947"/>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§7 recommends 4 + reserve list; §4 feeds Moksh's MCP requirements</w:t>
            </w:r>
          </w:p>
        </w:tc>
      </w:tr>
      <w:tr>
        <w:trPr>
          <w:cantSplit/>
        </w:trPr>
        <w:tc>
          <w:tcPr>
            <w:tcW w:type="dxa" w:w="25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09/11 — Consulting deck follow-up</w:t>
            </w:r>
          </w:p>
        </w:tc>
        <w:tc>
          <w:tcPr>
            <w:tcW w:type="dxa" w:w="73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MCP gateway paper assessment is the </w:t>
            </w:r>
            <w:r>
              <w:rPr>
                <w:rFonts w:ascii="Calibri" w:cs="Calibri" w:eastAsia="Calibri" w:hAnsi="Calibri"/>
                <w:b/>
                <w:bCs/>
                <w:sz w:val="17"/>
                <w:szCs w:val="17"/>
              </w:rPr>
              <w:t xml:space="preserve">main deliverable built from scratch</w:t>
            </w:r>
            <w:r>
              <w:rPr>
                <w:rFonts w:ascii="Calibri" w:cs="Calibri" w:eastAsia="Calibri" w:hAnsi="Calibri"/>
                <w:sz w:val="17"/>
                <w:szCs w:val="17"/>
              </w:rPr>
              <w:t xml:space="preserve">; Aaron has an </w:t>
            </w:r>
            <w:r>
              <w:rPr>
                <w:rFonts w:ascii="Calibri" w:cs="Calibri" w:eastAsia="Calibri" w:hAnsi="Calibri"/>
                <w:b/>
                <w:bCs/>
                <w:sz w:val="17"/>
                <w:szCs w:val="17"/>
              </w:rPr>
              <w:t xml:space="preserve">MCP pipeline deck + control list</w:t>
            </w:r>
            <w:r>
              <w:rPr>
                <w:rFonts w:ascii="Calibri" w:cs="Calibri" w:eastAsia="Calibri" w:hAnsi="Calibri"/>
                <w:sz w:val="17"/>
                <w:szCs w:val="17"/>
              </w:rPr>
              <w:t xml:space="preserve"> to share; SALT contact needed</w:t>
            </w:r>
          </w:p>
        </w:tc>
        <w:tc>
          <w:tcPr>
            <w:tcW w:type="dxa" w:w="39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§4.4 requirements should reconcile with Aaron's control list</w:t>
            </w:r>
          </w:p>
        </w:tc>
      </w:tr>
      <w:tr>
        <w:trPr>
          <w:cantSplit/>
        </w:trPr>
        <w:tc>
          <w:tcPr>
            <w:tcW w:type="dxa" w:w="252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09/17 — Pre-tasks and weekly status</w:t>
            </w:r>
          </w:p>
        </w:tc>
        <w:tc>
          <w:tcPr>
            <w:tcW w:type="dxa" w:w="735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Ben gave </w:t>
            </w:r>
            <w:r>
              <w:rPr>
                <w:rFonts w:ascii="Calibri" w:cs="Calibri" w:eastAsia="Calibri" w:hAnsi="Calibri"/>
                <w:b/>
                <w:bCs/>
                <w:sz w:val="17"/>
                <w:szCs w:val="17"/>
              </w:rPr>
              <w:t xml:space="preserve">five pattern areas</w:t>
            </w:r>
            <w:r>
              <w:rPr>
                <w:rFonts w:ascii="Calibri" w:cs="Calibri" w:eastAsia="Calibri" w:hAnsi="Calibri"/>
                <w:sz w:val="17"/>
                <w:szCs w:val="17"/>
              </w:rPr>
              <w:t xml:space="preserve"> (notes read "Workday, Gen AI, Developer AI, and related") — "Workday" likely = Workforce; findings go in OneNote; vendor criteria categories: security &amp; governance, </w:t>
            </w:r>
            <w:r>
              <w:rPr>
                <w:rFonts w:ascii="Calibri" w:cs="Calibri" w:eastAsia="Calibri" w:hAnsi="Calibri"/>
                <w:b/>
                <w:bCs/>
                <w:sz w:val="17"/>
                <w:szCs w:val="17"/>
              </w:rPr>
              <w:t xml:space="preserve">MCP support</w:t>
            </w:r>
            <w:r>
              <w:rPr>
                <w:rFonts w:ascii="Calibri" w:cs="Calibri" w:eastAsia="Calibri" w:hAnsi="Calibri"/>
                <w:sz w:val="17"/>
                <w:szCs w:val="17"/>
              </w:rPr>
              <w:t xml:space="preserve">, multi-model, deployment flexibility, observability &amp; audit, </w:t>
            </w:r>
            <w:r>
              <w:rPr>
                <w:rFonts w:ascii="Calibri" w:cs="Calibri" w:eastAsia="Calibri" w:hAnsi="Calibri"/>
                <w:b/>
                <w:bCs/>
                <w:sz w:val="17"/>
                <w:szCs w:val="17"/>
              </w:rPr>
              <w:t xml:space="preserve">TMNA stack integration (highest weight)</w:t>
            </w:r>
            <w:r>
              <w:rPr>
                <w:rFonts w:ascii="Calibri" w:cs="Calibri" w:eastAsia="Calibri" w:hAnsi="Calibri"/>
                <w:sz w:val="17"/>
                <w:szCs w:val="17"/>
              </w:rPr>
              <w:t xml:space="preserve">, vendor viability, cost; 1–3 weights</w:t>
            </w:r>
          </w:p>
        </w:tc>
        <w:tc>
          <w:tcPr>
            <w:tcW w:type="dxa" w:w="3947"/>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§4.4 maps MCP requirements to these criteria</w:t>
            </w:r>
          </w:p>
        </w:tc>
      </w:tr>
      <w:tr>
        <w:trPr>
          <w:cantSplit/>
        </w:trPr>
        <w:tc>
          <w:tcPr>
            <w:tcW w:type="dxa" w:w="252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09/18 — Weekly status update plan</w:t>
            </w:r>
          </w:p>
        </w:tc>
        <w:tc>
          <w:tcPr>
            <w:tcW w:type="dxa" w:w="735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Phase 3: up to 10 domains, must tie back to TMNA docs; GRC call next week; Rashi shared </w:t>
            </w:r>
            <w:r>
              <w:rPr>
                <w:rFonts w:ascii="Calibri" w:cs="Calibri" w:eastAsia="Calibri" w:hAnsi="Calibri"/>
                <w:b/>
                <w:bCs/>
                <w:sz w:val="17"/>
                <w:szCs w:val="17"/>
              </w:rPr>
              <w:t xml:space="preserve">agent architecture references</w:t>
            </w:r>
            <w:r>
              <w:rPr>
                <w:rFonts w:ascii="Calibri" w:cs="Calibri" w:eastAsia="Calibri" w:hAnsi="Calibri"/>
                <w:sz w:val="17"/>
                <w:szCs w:val="17"/>
              </w:rPr>
              <w:t xml:space="preserve">; sync Monday on review</w:t>
            </w:r>
          </w:p>
        </w:tc>
        <w:tc>
          <w:tcPr>
            <w:tcW w:type="dxa" w:w="394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§8 lists what to ask in the GRC call and Monday sync</w:t>
            </w:r>
          </w:p>
        </w:tc>
      </w:tr>
    </w:tbl>
    <w:p>
      <w:pPr>
        <w:spacing w:after="60"/>
      </w:pPr>
    </w:p>
    <w:p>
      <w:pPr>
        <w:spacing w:after="120"/>
      </w:pPr>
      <w:r>
        <w:rPr>
          <w:rFonts w:ascii="Calibri" w:cs="Calibri" w:eastAsia="Calibri" w:hAnsi="Calibri"/>
          <w:b/>
          <w:bCs/>
        </w:rPr>
        <w:t xml:space="preserve">Open conflict:</w:t>
      </w:r>
      <w:r>
        <w:rPr>
          <w:rFonts w:ascii="Calibri" w:cs="Calibri" w:eastAsia="Calibri" w:hAnsi="Calibri"/>
        </w:rPr>
        <w:t xml:space="preserve"> the SOW says "up to eight (8)" patterns for D2; the team confirmed 4 on 09/15. Make sure the D2 wording says 4 (with Ben's agreement recorded in the decision log) so nobody holds us to the SOW number.</w:t>
      </w:r>
    </w:p>
    <w:p>
      <w:pPr>
        <w:pStyle w:val="Heading1"/>
      </w:pPr>
      <w:r>
        <w:rPr>
          <w:rFonts w:ascii="Calibri" w:cs="Calibri" w:eastAsia="Calibri" w:hAnsi="Calibri"/>
        </w:rPr>
        <w:t xml:space="preserve">2. Framework layer (how to classify and name things)</w:t>
      </w:r>
    </w:p>
    <w:tbl>
      <w:tblPr>
        <w:tblW w:type="dxa" w:w="138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2"/>
        <w:gridCol w:w="6631"/>
        <w:gridCol w:w="3784"/>
        <w:gridCol w:w="1767"/>
      </w:tblGrid>
      <w:tr>
        <w:trPr>
          <w:tblHeader/>
        </w:trPr>
        <w:tc>
          <w:tcPr>
            <w:tcW w:type="dxa" w:w="16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Use</w:t>
            </w:r>
          </w:p>
        </w:tc>
        <w:tc>
          <w:tcPr>
            <w:tcW w:type="dxa" w:w="663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Framework</w:t>
            </w:r>
          </w:p>
        </w:tc>
        <w:tc>
          <w:tcPr>
            <w:tcW w:type="dxa" w:w="378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Why for TMCC</w:t>
            </w:r>
          </w:p>
        </w:tc>
        <w:tc>
          <w:tcPr>
            <w:tcW w:type="dxa" w:w="176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Source</w:t>
            </w:r>
          </w:p>
        </w:tc>
      </w:tr>
      <w:tr>
        <w:trPr>
          <w:cantSplit/>
        </w:trPr>
        <w:tc>
          <w:tcPr>
            <w:tcW w:type="dxa" w:w="1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b/>
                <w:bCs/>
                <w:sz w:val="17"/>
                <w:szCs w:val="17"/>
              </w:rPr>
              <w:t xml:space="preserve">Classify GenAI use cases</w:t>
            </w:r>
          </w:p>
        </w:tc>
        <w:tc>
          <w:tcPr>
            <w:tcW w:type="dxa" w:w="66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AWS Generative AI Security Scoping Matrix — Scope 1 consumer app → Scope 2 enterprise app → Scope 3 own app on pre-trained model (Claude via Bedrock is AWS's example) → Scopes 4–5 fine-tuned / self-trained</w:t>
            </w:r>
          </w:p>
        </w:tc>
        <w:tc>
          <w:tcPr>
            <w:tcW w:type="dxa" w:w="37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TMCC is AWS/Bedrock-heavy; vocabulary will land</w:t>
            </w:r>
          </w:p>
        </w:tc>
        <w:tc>
          <w:tcPr>
            <w:tcW w:type="dxa" w:w="17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hyperlink w:history="1" r:id="rIdb64fnhcp_jzoizmoadvh6">
              <w:r>
                <w:rPr>
                  <w:rStyle w:val="Hyperlink"/>
                  <w:rFonts w:ascii="Calibri" w:cs="Calibri" w:eastAsia="Calibri" w:hAnsi="Calibri"/>
                  <w:sz w:val="17"/>
                  <w:szCs w:val="17"/>
                </w:rPr>
                <w:t xml:space="preserve">AWS</w:t>
              </w:r>
            </w:hyperlink>
          </w:p>
        </w:tc>
      </w:tr>
      <w:tr>
        <w:trPr>
          <w:cantSplit/>
        </w:trPr>
        <w:tc>
          <w:tcPr>
            <w:tcW w:type="dxa" w:w="164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b/>
                <w:bCs/>
                <w:sz w:val="17"/>
                <w:szCs w:val="17"/>
              </w:rPr>
              <w:t xml:space="preserve">Classify agents</w:t>
            </w:r>
          </w:p>
        </w:tc>
        <w:tc>
          <w:tcPr>
            <w:tcW w:type="dxa" w:w="663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AWS Agentic AI Security Scoping Matrix — Scope 1 No agency / 2 Prescribed / 3 Supervised / 4 Full; 6 control dimensions: Identity Context, Data Protection, Audit &amp; Logging, Agent &amp; FM Controls, Agency Perimeters, Orchestration</w:t>
            </w:r>
          </w:p>
        </w:tc>
        <w:tc>
          <w:tcPr>
            <w:tcW w:type="dxa" w:w="378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Gives a risk tier per agent → controls scale with tier</w:t>
            </w:r>
          </w:p>
        </w:tc>
        <w:tc>
          <w:tcPr>
            <w:tcW w:type="dxa" w:w="1767"/>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hyperlink w:history="1" r:id="rIdtp4ojkrl3ishippkrncwb">
              <w:r>
                <w:rPr>
                  <w:rStyle w:val="Hyperlink"/>
                  <w:rFonts w:ascii="Calibri" w:cs="Calibri" w:eastAsia="Calibri" w:hAnsi="Calibri"/>
                  <w:sz w:val="17"/>
                  <w:szCs w:val="17"/>
                </w:rPr>
                <w:t xml:space="preserve">AWS</w:t>
              </w:r>
            </w:hyperlink>
            <w:r>
              <w:rPr>
                <w:rFonts w:ascii="Calibri" w:cs="Calibri" w:eastAsia="Calibri" w:hAnsi="Calibri"/>
                <w:sz w:val="17"/>
                <w:szCs w:val="17"/>
              </w:rPr>
              <w:t xml:space="preserve">, </w:t>
            </w:r>
            <w:hyperlink w:history="1" r:id="rIdvz_ks8ntph7jvhonp3gme">
              <w:r>
                <w:rPr>
                  <w:rStyle w:val="Hyperlink"/>
                  <w:rFonts w:ascii="Calibri" w:cs="Calibri" w:eastAsia="Calibri" w:hAnsi="Calibri"/>
                  <w:sz w:val="17"/>
                  <w:szCs w:val="17"/>
                </w:rPr>
                <w:t xml:space="preserve">AWS blog</w:t>
              </w:r>
            </w:hyperlink>
            <w:r>
              <w:rPr>
                <w:rFonts w:ascii="Calibri" w:cs="Calibri" w:eastAsia="Calibri" w:hAnsi="Calibri"/>
                <w:sz w:val="17"/>
                <w:szCs w:val="17"/>
              </w:rPr>
              <w:t xml:space="preserve">, </w:t>
            </w:r>
            <w:hyperlink w:history="1" r:id="rIdczmcczys9c3trnzja9--p">
              <w:r>
                <w:rPr>
                  <w:rStyle w:val="Hyperlink"/>
                  <w:rFonts w:ascii="Calibri" w:cs="Calibri" w:eastAsia="Calibri" w:hAnsi="Calibri"/>
                  <w:sz w:val="17"/>
                  <w:szCs w:val="17"/>
                </w:rPr>
                <w:t xml:space="preserve">CSA enhancement</w:t>
              </w:r>
            </w:hyperlink>
          </w:p>
        </w:tc>
      </w:tr>
      <w:tr>
        <w:trPr>
          <w:cantSplit/>
        </w:trPr>
        <w:tc>
          <w:tcPr>
            <w:tcW w:type="dxa" w:w="1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b/>
                <w:bCs/>
                <w:sz w:val="17"/>
                <w:szCs w:val="17"/>
              </w:rPr>
              <w:t xml:space="preserve">Risk language (Mandiant crosswalk)</w:t>
            </w:r>
          </w:p>
        </w:tc>
        <w:tc>
          <w:tcPr>
            <w:tcW w:type="dxa" w:w="66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Google SAIF 2.0 — 15 risks; agent map: Application &amp; Perception, Reasoning core, Orchestration (memory, tools, RAG), Response rendering; agent risks = </w:t>
            </w:r>
            <w:r>
              <w:rPr>
                <w:rFonts w:ascii="Calibri" w:cs="Calibri" w:eastAsia="Calibri" w:hAnsi="Calibri"/>
                <w:b/>
                <w:bCs/>
                <w:sz w:val="17"/>
                <w:szCs w:val="17"/>
              </w:rPr>
              <w:t xml:space="preserve">Rogue Actions</w:t>
            </w:r>
            <w:r>
              <w:rPr>
                <w:rFonts w:ascii="Calibri" w:cs="Calibri" w:eastAsia="Calibri" w:hAnsi="Calibri"/>
                <w:sz w:val="17"/>
                <w:szCs w:val="17"/>
              </w:rPr>
              <w:t xml:space="preserve">, </w:t>
            </w:r>
            <w:r>
              <w:rPr>
                <w:rFonts w:ascii="Calibri" w:cs="Calibri" w:eastAsia="Calibri" w:hAnsi="Calibri"/>
                <w:b/>
                <w:bCs/>
                <w:sz w:val="17"/>
                <w:szCs w:val="17"/>
              </w:rPr>
              <w:t xml:space="preserve">Sensitive Data Disclosure</w:t>
            </w:r>
          </w:p>
        </w:tc>
        <w:tc>
          <w:tcPr>
            <w:tcW w:type="dxa" w:w="37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Mandiant likely anchors to SAIF — add SAIF risk IDs as a column in D3 templates</w:t>
            </w:r>
          </w:p>
        </w:tc>
        <w:tc>
          <w:tcPr>
            <w:tcW w:type="dxa" w:w="17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hyperlink w:history="1" r:id="rIdku3jfhwvpdhjkoocmt_90">
              <w:r>
                <w:rPr>
                  <w:rStyle w:val="Hyperlink"/>
                  <w:rFonts w:ascii="Calibri" w:cs="Calibri" w:eastAsia="Calibri" w:hAnsi="Calibri"/>
                  <w:sz w:val="17"/>
                  <w:szCs w:val="17"/>
                </w:rPr>
                <w:t xml:space="preserve">SAIF map</w:t>
              </w:r>
            </w:hyperlink>
            <w:r>
              <w:rPr>
                <w:rFonts w:ascii="Calibri" w:cs="Calibri" w:eastAsia="Calibri" w:hAnsi="Calibri"/>
                <w:sz w:val="17"/>
                <w:szCs w:val="17"/>
              </w:rPr>
              <w:t xml:space="preserve">, </w:t>
            </w:r>
            <w:hyperlink w:history="1" r:id="rIdda5i9ahrmaza6gxvilex4">
              <w:r>
                <w:rPr>
                  <w:rStyle w:val="Hyperlink"/>
                  <w:rFonts w:ascii="Calibri" w:cs="Calibri" w:eastAsia="Calibri" w:hAnsi="Calibri"/>
                  <w:sz w:val="17"/>
                  <w:szCs w:val="17"/>
                </w:rPr>
                <w:t xml:space="preserve">SAIF agents</w:t>
              </w:r>
            </w:hyperlink>
          </w:p>
        </w:tc>
      </w:tr>
      <w:tr>
        <w:trPr>
          <w:cantSplit/>
        </w:trPr>
        <w:tc>
          <w:tcPr>
            <w:tcW w:type="dxa" w:w="164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b/>
                <w:bCs/>
                <w:sz w:val="17"/>
                <w:szCs w:val="17"/>
              </w:rPr>
              <w:t xml:space="preserve">Agentic risks</w:t>
            </w:r>
          </w:p>
        </w:tc>
        <w:tc>
          <w:tcPr>
            <w:tcW w:type="dxa" w:w="663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OWASP Top 10 for Agentic Applications 2026 (ASI01–ASI10)</w:t>
            </w:r>
          </w:p>
        </w:tc>
        <w:tc>
          <w:tcPr>
            <w:tcW w:type="dxa" w:w="378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Already in Extended Topics §4</w:t>
            </w:r>
          </w:p>
        </w:tc>
        <w:tc>
          <w:tcPr>
            <w:tcW w:type="dxa" w:w="1767"/>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hyperlink w:history="1" r:id="rIdq4os-ijywv-70waw6a6nk">
              <w:r>
                <w:rPr>
                  <w:rStyle w:val="Hyperlink"/>
                  <w:rFonts w:ascii="Calibri" w:cs="Calibri" w:eastAsia="Calibri" w:hAnsi="Calibri"/>
                  <w:sz w:val="17"/>
                  <w:szCs w:val="17"/>
                </w:rPr>
                <w:t xml:space="preserve">OWASP GenAI</w:t>
              </w:r>
            </w:hyperlink>
          </w:p>
        </w:tc>
      </w:tr>
      <w:tr>
        <w:trPr>
          <w:cantSplit/>
        </w:trPr>
        <w:tc>
          <w:tcPr>
            <w:tcW w:type="dxa" w:w="1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b/>
                <w:bCs/>
                <w:sz w:val="17"/>
                <w:szCs w:val="17"/>
              </w:rPr>
              <w:t xml:space="preserve">MCP risks</w:t>
            </w:r>
          </w:p>
        </w:tc>
        <w:tc>
          <w:tcPr>
            <w:tcW w:type="dxa" w:w="66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OWASP MCP Top 10 (MCP01–MCP10, beta) + MCP spec Security Best Practices + CoSAI MCP Security paper</w:t>
            </w:r>
          </w:p>
        </w:tc>
        <w:tc>
          <w:tcPr>
            <w:tcW w:type="dxa" w:w="37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Basis for §4 and Moksh's MCP requirements</w:t>
            </w:r>
          </w:p>
        </w:tc>
        <w:tc>
          <w:tcPr>
            <w:tcW w:type="dxa" w:w="17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hyperlink w:history="1" r:id="rIdf0a7k3izoddov-zigfkdo">
              <w:r>
                <w:rPr>
                  <w:rStyle w:val="Hyperlink"/>
                  <w:rFonts w:ascii="Calibri" w:cs="Calibri" w:eastAsia="Calibri" w:hAnsi="Calibri"/>
                  <w:sz w:val="17"/>
                  <w:szCs w:val="17"/>
                </w:rPr>
                <w:t xml:space="preserve">OWASP MCP Top 10</w:t>
              </w:r>
            </w:hyperlink>
            <w:r>
              <w:rPr>
                <w:rFonts w:ascii="Calibri" w:cs="Calibri" w:eastAsia="Calibri" w:hAnsi="Calibri"/>
                <w:sz w:val="17"/>
                <w:szCs w:val="17"/>
              </w:rPr>
              <w:t xml:space="preserve">, </w:t>
            </w:r>
            <w:hyperlink w:history="1" r:id="rIdd27qflhkjm5r5exobyiud">
              <w:r>
                <w:rPr>
                  <w:rStyle w:val="Hyperlink"/>
                  <w:rFonts w:ascii="Calibri" w:cs="Calibri" w:eastAsia="Calibri" w:hAnsi="Calibri"/>
                  <w:sz w:val="17"/>
                  <w:szCs w:val="17"/>
                </w:rPr>
                <w:t xml:space="preserve">MCP spec</w:t>
              </w:r>
            </w:hyperlink>
            <w:r>
              <w:rPr>
                <w:rFonts w:ascii="Calibri" w:cs="Calibri" w:eastAsia="Calibri" w:hAnsi="Calibri"/>
                <w:sz w:val="17"/>
                <w:szCs w:val="17"/>
              </w:rPr>
              <w:t xml:space="preserve">, </w:t>
            </w:r>
            <w:hyperlink w:history="1" r:id="rId8kemfx-j99zrngeg5ptd9">
              <w:r>
                <w:rPr>
                  <w:rStyle w:val="Hyperlink"/>
                  <w:rFonts w:ascii="Calibri" w:cs="Calibri" w:eastAsia="Calibri" w:hAnsi="Calibri"/>
                  <w:sz w:val="17"/>
                  <w:szCs w:val="17"/>
                </w:rPr>
                <w:t xml:space="preserve">CoSAI MCP PDF</w:t>
              </w:r>
            </w:hyperlink>
          </w:p>
        </w:tc>
      </w:tr>
      <w:tr>
        <w:trPr>
          <w:cantSplit/>
        </w:trPr>
        <w:tc>
          <w:tcPr>
            <w:tcW w:type="dxa" w:w="164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b/>
                <w:bCs/>
                <w:sz w:val="17"/>
                <w:szCs w:val="17"/>
              </w:rPr>
              <w:t xml:space="preserve">Agent identity</w:t>
            </w:r>
          </w:p>
        </w:tc>
        <w:tc>
          <w:tcPr>
            <w:tcW w:type="dxa" w:w="663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NIST NCCoE concept paper (Feb 2026): identification, authorization, auditing, non-repudiation; OAuth 2.x/OIDC, SPIFFE/SPIRE, SCIM, ABAC/NGAC. CoSAI Agentic IAM (Apr 2026)</w:t>
            </w:r>
          </w:p>
        </w:tc>
        <w:tc>
          <w:tcPr>
            <w:tcW w:type="dxa" w:w="378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Common ground with the Deloitte IAM workstream</w:t>
            </w:r>
          </w:p>
        </w:tc>
        <w:tc>
          <w:tcPr>
            <w:tcW w:type="dxa" w:w="1767"/>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hyperlink w:history="1" r:id="rIdyetxuv-7lvqqvcunjx2ym">
              <w:r>
                <w:rPr>
                  <w:rStyle w:val="Hyperlink"/>
                  <w:rFonts w:ascii="Calibri" w:cs="Calibri" w:eastAsia="Calibri" w:hAnsi="Calibri"/>
                  <w:sz w:val="17"/>
                  <w:szCs w:val="17"/>
                </w:rPr>
                <w:t xml:space="preserve">NCCoE</w:t>
              </w:r>
            </w:hyperlink>
            <w:r>
              <w:rPr>
                <w:rFonts w:ascii="Calibri" w:cs="Calibri" w:eastAsia="Calibri" w:hAnsi="Calibri"/>
                <w:sz w:val="17"/>
                <w:szCs w:val="17"/>
              </w:rPr>
              <w:t xml:space="preserve">, </w:t>
            </w:r>
            <w:hyperlink w:history="1" r:id="rIdguntjpaiup6dunrxqcmwg">
              <w:r>
                <w:rPr>
                  <w:rStyle w:val="Hyperlink"/>
                  <w:rFonts w:ascii="Calibri" w:cs="Calibri" w:eastAsia="Calibri" w:hAnsi="Calibri"/>
                  <w:sz w:val="17"/>
                  <w:szCs w:val="17"/>
                </w:rPr>
                <w:t xml:space="preserve">CoSAI Agentic IAM</w:t>
              </w:r>
            </w:hyperlink>
          </w:p>
        </w:tc>
      </w:tr>
      <w:tr>
        <w:trPr>
          <w:cantSplit/>
        </w:trPr>
        <w:tc>
          <w:tcPr>
            <w:tcW w:type="dxa" w:w="16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b/>
                <w:bCs/>
                <w:sz w:val="17"/>
                <w:szCs w:val="17"/>
              </w:rPr>
              <w:t xml:space="preserve">Control catalog for D4/D5</w:t>
            </w:r>
          </w:p>
        </w:tc>
        <w:tc>
          <w:tcPr>
            <w:tcW w:type="dxa" w:w="66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CSA AI Controls Matrix v1.1 — 247 objectives / 18 domains; agent controls </w:t>
            </w:r>
            <w:r>
              <w:rPr>
                <w:rFonts w:ascii="Calibri" w:cs="Calibri" w:eastAsia="Calibri" w:hAnsi="Calibri"/>
                <w:b/>
                <w:bCs/>
                <w:sz w:val="17"/>
                <w:szCs w:val="17"/>
              </w:rPr>
              <w:t xml:space="preserve">AIS-11</w:t>
            </w:r>
            <w:r>
              <w:rPr>
                <w:rFonts w:ascii="Calibri" w:cs="Calibri" w:eastAsia="Calibri" w:hAnsi="Calibri"/>
                <w:sz w:val="17"/>
                <w:szCs w:val="17"/>
              </w:rPr>
              <w:t xml:space="preserve"> (agent security boundaries), </w:t>
            </w:r>
            <w:r>
              <w:rPr>
                <w:rFonts w:ascii="Calibri" w:cs="Calibri" w:eastAsia="Calibri" w:hAnsi="Calibri"/>
                <w:b/>
                <w:bCs/>
                <w:sz w:val="17"/>
                <w:szCs w:val="17"/>
              </w:rPr>
              <w:t xml:space="preserve">IAM-19</w:t>
            </w:r>
            <w:r>
              <w:rPr>
                <w:rFonts w:ascii="Calibri" w:cs="Calibri" w:eastAsia="Calibri" w:hAnsi="Calibri"/>
                <w:sz w:val="17"/>
                <w:szCs w:val="17"/>
              </w:rPr>
              <w:t xml:space="preserve"> (agent access restriction); maps to ISO 42001, NIST AI 600-1</w:t>
            </w:r>
          </w:p>
        </w:tc>
        <w:tc>
          <w:tcPr>
            <w:tcW w:type="dxa" w:w="37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Candidate crosswalk into TMNA/TMCC domains; AI-CAIQ usable for vendor questionnaires</w:t>
            </w:r>
          </w:p>
        </w:tc>
        <w:tc>
          <w:tcPr>
            <w:tcW w:type="dxa" w:w="176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hyperlink w:history="1" r:id="rIdkm6cxzxlkfp4wbj3ddeev">
              <w:r>
                <w:rPr>
                  <w:rStyle w:val="Hyperlink"/>
                  <w:rFonts w:ascii="Calibri" w:cs="Calibri" w:eastAsia="Calibri" w:hAnsi="Calibri"/>
                  <w:sz w:val="17"/>
                  <w:szCs w:val="17"/>
                </w:rPr>
                <w:t xml:space="preserve">CSA AICM</w:t>
              </w:r>
            </w:hyperlink>
            <w:r>
              <w:rPr>
                <w:rFonts w:ascii="Calibri" w:cs="Calibri" w:eastAsia="Calibri" w:hAnsi="Calibri"/>
                <w:sz w:val="17"/>
                <w:szCs w:val="17"/>
              </w:rPr>
              <w:t xml:space="preserve">, </w:t>
            </w:r>
            <w:hyperlink w:history="1" r:id="rIdxgjsf-gteqxb6hgyhklpr">
              <w:r>
                <w:rPr>
                  <w:rStyle w:val="Hyperlink"/>
                  <w:rFonts w:ascii="Calibri" w:cs="Calibri" w:eastAsia="Calibri" w:hAnsi="Calibri"/>
                  <w:sz w:val="17"/>
                  <w:szCs w:val="17"/>
                </w:rPr>
                <w:t xml:space="preserve">AICM agent controls</w:t>
              </w:r>
            </w:hyperlink>
          </w:p>
        </w:tc>
      </w:tr>
      <w:tr>
        <w:trPr>
          <w:cantSplit/>
        </w:trPr>
        <w:tc>
          <w:tcPr>
            <w:tcW w:type="dxa" w:w="164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b/>
                <w:bCs/>
                <w:sz w:val="17"/>
                <w:szCs w:val="17"/>
              </w:rPr>
              <w:t xml:space="preserve">Future 800-53 alignment</w:t>
            </w:r>
          </w:p>
        </w:tc>
        <w:tc>
          <w:tcPr>
            <w:tcW w:type="dxa" w:w="663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NIST COSAiS overlays — 5 use cases incl. GenAI assistants, single-agent, multi-agent. Only the predictive-AI outline is published (Jan 2026)</w:t>
            </w:r>
          </w:p>
        </w:tc>
        <w:tc>
          <w:tcPr>
            <w:tcW w:type="dxa" w:w="378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Mention as "aligned-ready"; don't cite as final</w:t>
            </w:r>
          </w:p>
        </w:tc>
        <w:tc>
          <w:tcPr>
            <w:tcW w:type="dxa" w:w="1767"/>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hyperlink w:history="1" r:id="rIdsfjvowv9d24tbbjimltc9">
              <w:r>
                <w:rPr>
                  <w:rStyle w:val="Hyperlink"/>
                  <w:rFonts w:ascii="Calibri" w:cs="Calibri" w:eastAsia="Calibri" w:hAnsi="Calibri"/>
                  <w:sz w:val="17"/>
                  <w:szCs w:val="17"/>
                </w:rPr>
                <w:t xml:space="preserve">NIST COSAiS</w:t>
              </w:r>
            </w:hyperlink>
          </w:p>
        </w:tc>
      </w:tr>
    </w:tbl>
    <w:p>
      <w:pPr>
        <w:spacing w:after="60"/>
      </w:pPr>
    </w:p>
    <w:p>
      <w:pPr>
        <w:spacing w:after="120"/>
      </w:pPr>
      <w:r>
        <w:rPr>
          <w:rFonts w:ascii="Calibri" w:cs="Calibri" w:eastAsia="Calibri" w:hAnsi="Calibri"/>
          <w:b/>
          <w:bCs/>
        </w:rPr>
        <w:t xml:space="preserve">Recommendation:</w:t>
      </w:r>
      <w:r>
        <w:rPr>
          <w:rFonts w:ascii="Calibri" w:cs="Calibri" w:eastAsia="Calibri" w:hAnsi="Calibri"/>
        </w:rPr>
        <w:t xml:space="preserve"> use the AWS matrices as the </w:t>
      </w:r>
      <w:r>
        <w:rPr>
          <w:rFonts w:ascii="Calibri" w:cs="Calibri" w:eastAsia="Calibri" w:hAnsi="Calibri"/>
          <w:i/>
          <w:iCs/>
        </w:rPr>
        <w:t xml:space="preserve">classification</w:t>
      </w:r>
      <w:r>
        <w:rPr>
          <w:rFonts w:ascii="Calibri" w:cs="Calibri" w:eastAsia="Calibri" w:hAnsi="Calibri"/>
        </w:rPr>
        <w:t xml:space="preserve"> layer and SAIF/OWASP/CoSAI as the </w:t>
      </w:r>
      <w:r>
        <w:rPr>
          <w:rFonts w:ascii="Calibri" w:cs="Calibri" w:eastAsia="Calibri" w:hAnsi="Calibri"/>
          <w:i/>
          <w:iCs/>
        </w:rPr>
        <w:t xml:space="preserve">risk/control</w:t>
      </w:r>
      <w:r>
        <w:rPr>
          <w:rFonts w:ascii="Calibri" w:cs="Calibri" w:eastAsia="Calibri" w:hAnsi="Calibri"/>
        </w:rPr>
        <w:t xml:space="preserve"> layer. That avoids a SAIF-vs-TMCC vocabulary fight with Mandiant.</w:t>
      </w:r>
    </w:p>
    <w:p>
      <w:pPr>
        <w:pStyle w:val="Heading1"/>
      </w:pPr>
      <w:r>
        <w:rPr>
          <w:rFonts w:ascii="Calibri" w:cs="Calibri" w:eastAsia="Calibri" w:hAnsi="Calibri"/>
        </w:rPr>
        <w:t xml:space="preserve">3. SOW scope items → AI category → pattern area</w:t>
      </w:r>
    </w:p>
    <w:tbl>
      <w:tblPr>
        <w:tblW w:type="dxa" w:w="138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83"/>
        <w:gridCol w:w="2574"/>
        <w:gridCol w:w="2623"/>
        <w:gridCol w:w="2544"/>
      </w:tblGrid>
      <w:tr>
        <w:trPr>
          <w:tblHeader/>
        </w:trPr>
        <w:tc>
          <w:tcPr>
            <w:tcW w:type="dxa" w:w="608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SOW Phase 2 scope item</w:t>
            </w:r>
          </w:p>
        </w:tc>
        <w:tc>
          <w:tcPr>
            <w:tcW w:type="dxa" w:w="257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Category</w:t>
            </w:r>
          </w:p>
        </w:tc>
        <w:tc>
          <w:tcPr>
            <w:tcW w:type="dxa" w:w="262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Scope tier</w:t>
            </w:r>
          </w:p>
        </w:tc>
        <w:tc>
          <w:tcPr>
            <w:tcW w:type="dxa" w:w="254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Pattern refs below</w:t>
            </w:r>
          </w:p>
        </w:tc>
      </w:tr>
      <w:tr>
        <w:trPr>
          <w:cantSplit/>
        </w:trPr>
        <w:tc>
          <w:tcPr>
            <w:tcW w:type="dxa" w:w="6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Internal AI assistants (Amazon Q, Claude Chat)</w:t>
            </w:r>
          </w:p>
        </w:tc>
        <w:tc>
          <w:tcPr>
            <w:tcW w:type="dxa" w:w="25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Workforce</w:t>
            </w:r>
          </w:p>
        </w:tc>
        <w:tc>
          <w:tcPr>
            <w:tcW w:type="dxa" w:w="26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GenAI S2</w:t>
            </w:r>
          </w:p>
        </w:tc>
        <w:tc>
          <w:tcPr>
            <w:tcW w:type="dxa" w:w="25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W1–W5</w:t>
            </w:r>
          </w:p>
        </w:tc>
      </w:tr>
      <w:tr>
        <w:trPr>
          <w:cantSplit/>
        </w:trPr>
        <w:tc>
          <w:tcPr>
            <w:tcW w:type="dxa" w:w="6083"/>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Developer AI IDEs / ADE (Kiro)</w:t>
            </w:r>
          </w:p>
        </w:tc>
        <w:tc>
          <w:tcPr>
            <w:tcW w:type="dxa" w:w="257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Developer</w:t>
            </w:r>
          </w:p>
        </w:tc>
        <w:tc>
          <w:tcPr>
            <w:tcW w:type="dxa" w:w="2623"/>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Agentic 2–3</w:t>
            </w:r>
          </w:p>
        </w:tc>
        <w:tc>
          <w:tcPr>
            <w:tcW w:type="dxa" w:w="254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D1–D7</w:t>
            </w:r>
          </w:p>
        </w:tc>
      </w:tr>
      <w:tr>
        <w:trPr>
          <w:cantSplit/>
        </w:trPr>
        <w:tc>
          <w:tcPr>
            <w:tcW w:type="dxa" w:w="6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Agentic AI and MCP usage within TMCC</w:t>
            </w:r>
          </w:p>
        </w:tc>
        <w:tc>
          <w:tcPr>
            <w:tcW w:type="dxa" w:w="25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Agentic</w:t>
            </w:r>
          </w:p>
        </w:tc>
        <w:tc>
          <w:tcPr>
            <w:tcW w:type="dxa" w:w="26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Agentic 1–4</w:t>
            </w:r>
          </w:p>
        </w:tc>
        <w:tc>
          <w:tcPr>
            <w:tcW w:type="dxa" w:w="25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A1–A9, §4</w:t>
            </w:r>
          </w:p>
        </w:tc>
      </w:tr>
      <w:tr>
        <w:trPr>
          <w:cantSplit/>
        </w:trPr>
        <w:tc>
          <w:tcPr>
            <w:tcW w:type="dxa" w:w="6083"/>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MCP proxy architecture</w:t>
            </w:r>
          </w:p>
        </w:tc>
        <w:tc>
          <w:tcPr>
            <w:tcW w:type="dxa" w:w="257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Agentic / MCP</w:t>
            </w:r>
          </w:p>
        </w:tc>
        <w:tc>
          <w:tcPr>
            <w:tcW w:type="dxa" w:w="2623"/>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w:t>
            </w:r>
          </w:p>
        </w:tc>
        <w:tc>
          <w:tcPr>
            <w:tcW w:type="dxa" w:w="254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M1–M8, §4</w:t>
            </w:r>
          </w:p>
        </w:tc>
      </w:tr>
      <w:tr>
        <w:trPr>
          <w:cantSplit/>
        </w:trPr>
        <w:tc>
          <w:tcPr>
            <w:tcW w:type="dxa" w:w="6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AI gateway architecture</w:t>
            </w:r>
          </w:p>
        </w:tc>
        <w:tc>
          <w:tcPr>
            <w:tcW w:type="dxa" w:w="25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GenAI + Agentic</w:t>
            </w:r>
          </w:p>
        </w:tc>
        <w:tc>
          <w:tcPr>
            <w:tcW w:type="dxa" w:w="26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w:t>
            </w:r>
          </w:p>
        </w:tc>
        <w:tc>
          <w:tcPr>
            <w:tcW w:type="dxa" w:w="25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G1, M1 (Catalog §1)</w:t>
            </w:r>
          </w:p>
        </w:tc>
      </w:tr>
      <w:tr>
        <w:trPr>
          <w:cantSplit/>
        </w:trPr>
        <w:tc>
          <w:tcPr>
            <w:tcW w:type="dxa" w:w="6083"/>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3rd-party LLM access via Bedrock</w:t>
            </w:r>
          </w:p>
        </w:tc>
        <w:tc>
          <w:tcPr>
            <w:tcW w:type="dxa" w:w="257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GenAI</w:t>
            </w:r>
          </w:p>
        </w:tc>
        <w:tc>
          <w:tcPr>
            <w:tcW w:type="dxa" w:w="2623"/>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GenAI S3</w:t>
            </w:r>
          </w:p>
        </w:tc>
        <w:tc>
          <w:tcPr>
            <w:tcW w:type="dxa" w:w="254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G1–G6</w:t>
            </w:r>
          </w:p>
        </w:tc>
      </w:tr>
      <w:tr>
        <w:trPr>
          <w:cantSplit/>
        </w:trPr>
        <w:tc>
          <w:tcPr>
            <w:tcW w:type="dxa" w:w="6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Customer-facing chatbot</w:t>
            </w:r>
          </w:p>
        </w:tc>
        <w:tc>
          <w:tcPr>
            <w:tcW w:type="dxa" w:w="25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GenAI</w:t>
            </w:r>
          </w:p>
        </w:tc>
        <w:tc>
          <w:tcPr>
            <w:tcW w:type="dxa" w:w="26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GenAI S3 (+ agentic if it acts)</w:t>
            </w:r>
          </w:p>
        </w:tc>
        <w:tc>
          <w:tcPr>
            <w:tcW w:type="dxa" w:w="25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G3–G4, A-series</w:t>
            </w:r>
          </w:p>
        </w:tc>
      </w:tr>
      <w:tr>
        <w:trPr>
          <w:cantSplit/>
        </w:trPr>
        <w:tc>
          <w:tcPr>
            <w:tcW w:type="dxa" w:w="6083"/>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Agentic processes in Tableau/Salesforce</w:t>
            </w:r>
          </w:p>
        </w:tc>
        <w:tc>
          <w:tcPr>
            <w:tcW w:type="dxa" w:w="257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SaaS-embedded</w:t>
            </w:r>
          </w:p>
        </w:tc>
        <w:tc>
          <w:tcPr>
            <w:tcW w:type="dxa" w:w="2623"/>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GenAI S2 / agentic</w:t>
            </w:r>
          </w:p>
        </w:tc>
        <w:tc>
          <w:tcPr>
            <w:tcW w:type="dxa" w:w="254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S1–S4</w:t>
            </w:r>
          </w:p>
        </w:tc>
      </w:tr>
      <w:tr>
        <w:trPr>
          <w:cantSplit/>
        </w:trPr>
        <w:tc>
          <w:tcPr>
            <w:tcW w:type="dxa" w:w="608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Coordination with Agentic IAM programs</w:t>
            </w:r>
          </w:p>
        </w:tc>
        <w:tc>
          <w:tcPr>
            <w:tcW w:type="dxa" w:w="25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Cross-cutting</w:t>
            </w:r>
          </w:p>
        </w:tc>
        <w:tc>
          <w:tcPr>
            <w:tcW w:type="dxa" w:w="26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w:t>
            </w:r>
          </w:p>
        </w:tc>
        <w:tc>
          <w:tcPr>
            <w:tcW w:type="dxa" w:w="25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A1–A2</w:t>
            </w:r>
          </w:p>
        </w:tc>
      </w:tr>
    </w:tbl>
    <w:p>
      <w:pPr>
        <w:spacing w:after="60"/>
      </w:pPr>
    </w:p>
    <w:p>
      <w:pPr>
        <w:pStyle w:val="Heading1"/>
      </w:pPr>
      <w:r>
        <w:rPr>
          <w:rFonts w:ascii="Calibri" w:cs="Calibri" w:eastAsia="Calibri" w:hAnsi="Calibri"/>
        </w:rPr>
        <w:t xml:space="preserve">4. MCP security deep dive (feeds Moksh's MCP requirements and D6)</w:t>
      </w:r>
    </w:p>
    <w:p>
      <w:pPr>
        <w:pStyle w:val="Heading2"/>
      </w:pPr>
      <w:r>
        <w:rPr>
          <w:rFonts w:ascii="Calibri" w:cs="Calibri" w:eastAsia="Calibri" w:hAnsi="Calibri"/>
        </w:rPr>
        <w:t xml:space="preserve">4.1 Threat list — OWASP MCP Top 10 mapped to TMCC controls</w:t>
      </w:r>
    </w:p>
    <w:tbl>
      <w:tblPr>
        <w:tblW w:type="dxa" w:w="138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5"/>
        <w:gridCol w:w="3697"/>
        <w:gridCol w:w="8772"/>
      </w:tblGrid>
      <w:tr>
        <w:trPr>
          <w:tblHeader/>
        </w:trPr>
        <w:tc>
          <w:tcPr>
            <w:tcW w:type="dxa" w:w="13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ID</w:t>
            </w:r>
          </w:p>
        </w:tc>
        <w:tc>
          <w:tcPr>
            <w:tcW w:type="dxa" w:w="369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Risk</w:t>
            </w:r>
          </w:p>
        </w:tc>
        <w:tc>
          <w:tcPr>
            <w:tcW w:type="dxa" w:w="877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TMCC control (pattern)</w:t>
            </w:r>
          </w:p>
        </w:tc>
      </w:tr>
      <w:tr>
        <w:trPr>
          <w:cantSplit/>
        </w:trPr>
        <w:tc>
          <w:tcPr>
            <w:tcW w:type="dxa" w:w="13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MCP01</w:t>
            </w:r>
          </w:p>
        </w:tc>
        <w:tc>
          <w:tcPr>
            <w:tcW w:type="dxa" w:w="36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Token mismanagement &amp; secret exposure</w:t>
            </w:r>
          </w:p>
        </w:tc>
        <w:tc>
          <w:tcPr>
            <w:tcW w:type="dxa" w:w="8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Short-lived, audience-bound tokens; secrets from vault at runtime; no tokens in prompts/logs (M3)</w:t>
            </w:r>
          </w:p>
        </w:tc>
      </w:tr>
      <w:tr>
        <w:trPr>
          <w:cantSplit/>
        </w:trPr>
        <w:tc>
          <w:tcPr>
            <w:tcW w:type="dxa" w:w="1355"/>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MCP02</w:t>
            </w:r>
          </w:p>
        </w:tc>
        <w:tc>
          <w:tcPr>
            <w:tcW w:type="dxa" w:w="3697"/>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Privilege escalation via scope creep</w:t>
            </w:r>
          </w:p>
        </w:tc>
        <w:tc>
          <w:tcPr>
            <w:tcW w:type="dxa" w:w="877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Progressive least-privilege scopes, step-up authorization (M3)</w:t>
            </w:r>
          </w:p>
        </w:tc>
      </w:tr>
      <w:tr>
        <w:trPr>
          <w:cantSplit/>
        </w:trPr>
        <w:tc>
          <w:tcPr>
            <w:tcW w:type="dxa" w:w="13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MCP03</w:t>
            </w:r>
          </w:p>
        </w:tc>
        <w:tc>
          <w:tcPr>
            <w:tcW w:type="dxa" w:w="36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Tool poisoning</w:t>
            </w:r>
          </w:p>
        </w:tc>
        <w:tc>
          <w:tcPr>
            <w:tcW w:type="dxa" w:w="8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Signed/pinned tool descriptions; alert on description change after approval (M2)</w:t>
            </w:r>
          </w:p>
        </w:tc>
      </w:tr>
      <w:tr>
        <w:trPr>
          <w:cantSplit/>
        </w:trPr>
        <w:tc>
          <w:tcPr>
            <w:tcW w:type="dxa" w:w="1355"/>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MCP04</w:t>
            </w:r>
          </w:p>
        </w:tc>
        <w:tc>
          <w:tcPr>
            <w:tcW w:type="dxa" w:w="3697"/>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Supply chain &amp; dependency tampering</w:t>
            </w:r>
          </w:p>
        </w:tc>
        <w:tc>
          <w:tcPr>
            <w:tcW w:type="dxa" w:w="877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Private registry, version pinning, SBOM, vuln scan gate (M2)</w:t>
            </w:r>
          </w:p>
        </w:tc>
      </w:tr>
      <w:tr>
        <w:trPr>
          <w:cantSplit/>
        </w:trPr>
        <w:tc>
          <w:tcPr>
            <w:tcW w:type="dxa" w:w="13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MCP05</w:t>
            </w:r>
          </w:p>
        </w:tc>
        <w:tc>
          <w:tcPr>
            <w:tcW w:type="dxa" w:w="36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Command injection &amp; execution</w:t>
            </w:r>
          </w:p>
        </w:tc>
        <w:tc>
          <w:tcPr>
            <w:tcW w:type="dxa" w:w="8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Sandboxed servers; no shell string interpolation (see Kiro CVE-2026-0830) (M5)</w:t>
            </w:r>
          </w:p>
        </w:tc>
      </w:tr>
      <w:tr>
        <w:trPr>
          <w:cantSplit/>
        </w:trPr>
        <w:tc>
          <w:tcPr>
            <w:tcW w:type="dxa" w:w="1355"/>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MCP06</w:t>
            </w:r>
          </w:p>
        </w:tc>
        <w:tc>
          <w:tcPr>
            <w:tcW w:type="dxa" w:w="3697"/>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Prompt injection via contextual payloads</w:t>
            </w:r>
          </w:p>
        </w:tc>
        <w:tc>
          <w:tcPr>
            <w:tcW w:type="dxa" w:w="877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Treat tool output as untrusted; Rule of Two (A4); gateway injection scanning (M4)</w:t>
            </w:r>
          </w:p>
        </w:tc>
      </w:tr>
      <w:tr>
        <w:trPr>
          <w:cantSplit/>
        </w:trPr>
        <w:tc>
          <w:tcPr>
            <w:tcW w:type="dxa" w:w="13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MCP07</w:t>
            </w:r>
          </w:p>
        </w:tc>
        <w:tc>
          <w:tcPr>
            <w:tcW w:type="dxa" w:w="36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Insufficient authN/authZ</w:t>
            </w:r>
          </w:p>
        </w:tc>
        <w:tc>
          <w:tcPr>
            <w:tcW w:type="dxa" w:w="8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OAuth 2.1 per MCP authorization spec; per-request policy; OBO delegation (A2, M3)</w:t>
            </w:r>
          </w:p>
        </w:tc>
      </w:tr>
      <w:tr>
        <w:trPr>
          <w:cantSplit/>
        </w:trPr>
        <w:tc>
          <w:tcPr>
            <w:tcW w:type="dxa" w:w="1355"/>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MCP08</w:t>
            </w:r>
          </w:p>
        </w:tc>
        <w:tc>
          <w:tcPr>
            <w:tcW w:type="dxa" w:w="3697"/>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Lack of audit &amp; telemetry</w:t>
            </w:r>
          </w:p>
        </w:tc>
        <w:tc>
          <w:tcPr>
            <w:tcW w:type="dxa" w:w="877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Every tool call logged with agent + user identity to SIEM (M6)</w:t>
            </w:r>
          </w:p>
        </w:tc>
      </w:tr>
      <w:tr>
        <w:trPr>
          <w:cantSplit/>
        </w:trPr>
        <w:tc>
          <w:tcPr>
            <w:tcW w:type="dxa" w:w="135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MCP09</w:t>
            </w:r>
          </w:p>
        </w:tc>
        <w:tc>
          <w:tcPr>
            <w:tcW w:type="dxa" w:w="369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Shadow MCP servers</w:t>
            </w:r>
          </w:p>
        </w:tc>
        <w:tc>
          <w:tcPr>
            <w:tcW w:type="dxa" w:w="87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Discovery (SALT AG-SPM, endpoint config scan) + block unregistered servers at gateway (M1, M7)</w:t>
            </w:r>
          </w:p>
        </w:tc>
      </w:tr>
      <w:tr>
        <w:trPr>
          <w:cantSplit/>
        </w:trPr>
        <w:tc>
          <w:tcPr>
            <w:tcW w:type="dxa" w:w="1355"/>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MCP10</w:t>
            </w:r>
          </w:p>
        </w:tc>
        <w:tc>
          <w:tcPr>
            <w:tcW w:type="dxa" w:w="3697"/>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Context injection &amp; over-sharing</w:t>
            </w:r>
          </w:p>
        </w:tc>
        <w:tc>
          <w:tcPr>
            <w:tcW w:type="dxa" w:w="877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Per-user/per-task context isolation; minimize data in tool results (A6)</w:t>
            </w:r>
          </w:p>
        </w:tc>
      </w:tr>
    </w:tbl>
    <w:p>
      <w:pPr>
        <w:spacing w:after="60"/>
      </w:pPr>
    </w:p>
    <w:p>
      <w:pPr>
        <w:spacing w:after="120"/>
      </w:pPr>
      <w:r>
        <w:rPr>
          <w:rFonts w:ascii="Calibri" w:cs="Calibri" w:eastAsia="Calibri" w:hAnsi="Calibri"/>
        </w:rPr>
        <w:t xml:space="preserve">Source: </w:t>
      </w:r>
      <w:hyperlink w:history="1" r:id="rIdtqk1vbkq6q0c4ippst3an">
        <w:r>
          <w:rPr>
            <w:rStyle w:val="Hyperlink"/>
            <w:rFonts w:ascii="Calibri" w:cs="Calibri" w:eastAsia="Calibri" w:hAnsi="Calibri"/>
          </w:rPr>
          <w:t xml:space="preserve">OWASP MCP Top 10</w:t>
        </w:r>
      </w:hyperlink>
      <w:r>
        <w:rPr>
          <w:rFonts w:ascii="Calibri" w:cs="Calibri" w:eastAsia="Calibri" w:hAnsi="Calibri"/>
        </w:rPr>
        <w:t xml:space="preserve"> · </w:t>
      </w:r>
      <w:hyperlink w:history="1" r:id="rIdcpt3leul6hz8x4n0irthd">
        <w:r>
          <w:rPr>
            <w:rStyle w:val="Hyperlink"/>
            <w:rFonts w:ascii="Calibri" w:cs="Calibri" w:eastAsia="Calibri" w:hAnsi="Calibri"/>
          </w:rPr>
          <w:t xml:space="preserve">Cycode guide</w:t>
        </w:r>
      </w:hyperlink>
    </w:p>
    <w:p>
      <w:pPr>
        <w:pStyle w:val="Heading2"/>
      </w:pPr>
      <w:r>
        <w:rPr>
          <w:rFonts w:ascii="Calibri" w:cs="Calibri" w:eastAsia="Calibri" w:hAnsi="Calibri"/>
        </w:rPr>
        <w:t xml:space="preserve">4.2 MCP specification MUST/SHOULD controls (for requirements and standard language)</w:t>
      </w:r>
    </w:p>
    <w:p>
      <w:pPr>
        <w:spacing w:after="120"/>
      </w:pPr>
      <w:r>
        <w:rPr>
          <w:rFonts w:ascii="Calibri" w:cs="Calibri" w:eastAsia="Calibri" w:hAnsi="Calibri"/>
        </w:rPr>
        <w:t xml:space="preserve">From the official </w:t>
      </w:r>
      <w:hyperlink w:history="1" r:id="rIdkxfvk8x2n1qb-mppvkxjc">
        <w:r>
          <w:rPr>
            <w:rStyle w:val="Hyperlink"/>
            <w:rFonts w:ascii="Calibri" w:cs="Calibri" w:eastAsia="Calibri" w:hAnsi="Calibri"/>
          </w:rPr>
          <w:t xml:space="preserve">MCP Security Best Practices</w:t>
        </w:r>
      </w:hyperlink>
      <w:r>
        <w:rPr>
          <w:rFonts w:ascii="Calibri" w:cs="Calibri" w:eastAsia="Calibri" w:hAnsi="Calibri"/>
        </w:rPr>
        <w:t xml:space="preserve"> (2026-07-28 revision):</w:t>
      </w:r>
    </w:p>
    <w:p>
      <w:pPr>
        <w:pStyle w:val="ListParagraph"/>
        <w:numPr>
          <w:ilvl w:val="0"/>
          <w:numId w:val="2"/>
        </w:numPr>
        <w:spacing w:after="60"/>
      </w:pPr>
      <w:r>
        <w:rPr>
          <w:rFonts w:ascii="Calibri" w:cs="Calibri" w:eastAsia="Calibri" w:hAnsi="Calibri"/>
          <w:b/>
          <w:bCs/>
        </w:rPr>
        <w:t xml:space="preserve">Token passthrough is forbidden</w:t>
      </w:r>
      <w:r>
        <w:rPr>
          <w:rFonts w:ascii="Calibri" w:cs="Calibri" w:eastAsia="Calibri" w:hAnsi="Calibri"/>
        </w:rPr>
        <w:t xml:space="preserve"> — MCP servers MUST NOT accept tokens that weren't issued for that MCP server (audience validation). This is the most important requirement for a gateway that fronts TMCC APIs.</w:t>
      </w:r>
    </w:p>
    <w:p>
      <w:pPr>
        <w:pStyle w:val="ListParagraph"/>
        <w:numPr>
          <w:ilvl w:val="0"/>
          <w:numId w:val="2"/>
        </w:numPr>
        <w:spacing w:after="60"/>
      </w:pPr>
      <w:r>
        <w:rPr>
          <w:rFonts w:ascii="Calibri" w:cs="Calibri" w:eastAsia="Calibri" w:hAnsi="Calibri"/>
          <w:b/>
          <w:bCs/>
        </w:rPr>
        <w:t xml:space="preserve">Confused deputy</w:t>
      </w:r>
      <w:r>
        <w:rPr>
          <w:rFonts w:ascii="Calibri" w:cs="Calibri" w:eastAsia="Calibri" w:hAnsi="Calibri"/>
        </w:rPr>
        <w:t xml:space="preserve"> — MCP proxies using a static client ID to a third-party API MUST implement per-client consent, exact </w:t>
      </w:r>
      <w:r>
        <w:rPr>
          <w:rFonts w:ascii="Consolas" w:cs="Consolas" w:eastAsia="Consolas" w:hAnsi="Consolas"/>
          <w:sz w:val="19"/>
          <w:szCs w:val="19"/>
        </w:rPr>
        <w:t xml:space="preserve">redirect_uri</w:t>
      </w:r>
      <w:r>
        <w:rPr>
          <w:rFonts w:ascii="Calibri" w:cs="Calibri" w:eastAsia="Calibri" w:hAnsi="Calibri"/>
        </w:rPr>
        <w:t xml:space="preserve"> matching, and single-use OAuth </w:t>
      </w:r>
      <w:r>
        <w:rPr>
          <w:rFonts w:ascii="Consolas" w:cs="Consolas" w:eastAsia="Consolas" w:hAnsi="Consolas"/>
          <w:sz w:val="19"/>
          <w:szCs w:val="19"/>
        </w:rPr>
        <w:t xml:space="preserve">state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SSRF during OAuth discovery</w:t>
      </w:r>
      <w:r>
        <w:rPr>
          <w:rFonts w:ascii="Calibri" w:cs="Calibri" w:eastAsia="Calibri" w:hAnsi="Calibri"/>
        </w:rPr>
        <w:t xml:space="preserve"> — clients SHOULD require HTTPS, block private/link-local ranges (incl. 169.254.169.254 cloud metadata), and use an egress proxy. Directly relevant to MCP clients running in AWS.</w:t>
      </w:r>
    </w:p>
    <w:p>
      <w:pPr>
        <w:pStyle w:val="ListParagraph"/>
        <w:numPr>
          <w:ilvl w:val="0"/>
          <w:numId w:val="2"/>
        </w:numPr>
        <w:spacing w:after="60"/>
      </w:pPr>
      <w:r>
        <w:rPr>
          <w:rFonts w:ascii="Calibri" w:cs="Calibri" w:eastAsia="Calibri" w:hAnsi="Calibri"/>
          <w:b/>
          <w:bCs/>
        </w:rPr>
        <w:t xml:space="preserve">State handle hijacking</w:t>
      </w:r>
      <w:r>
        <w:rPr>
          <w:rFonts w:ascii="Calibri" w:cs="Calibri" w:eastAsia="Calibri" w:hAnsi="Calibri"/>
        </w:rPr>
        <w:t xml:space="preserve"> — the spec is now stateless; servers MUST NOT treat a state handle as authentication and SHOULD bind handles to the verified user.</w:t>
      </w:r>
    </w:p>
    <w:p>
      <w:pPr>
        <w:pStyle w:val="ListParagraph"/>
        <w:numPr>
          <w:ilvl w:val="0"/>
          <w:numId w:val="2"/>
        </w:numPr>
        <w:spacing w:after="60"/>
      </w:pPr>
      <w:r>
        <w:rPr>
          <w:rFonts w:ascii="Calibri" w:cs="Calibri" w:eastAsia="Calibri" w:hAnsi="Calibri"/>
          <w:b/>
          <w:bCs/>
        </w:rPr>
        <w:t xml:space="preserve">Local MCP server compromise</w:t>
      </w:r>
      <w:r>
        <w:rPr>
          <w:rFonts w:ascii="Calibri" w:cs="Calibri" w:eastAsia="Calibri" w:hAnsi="Calibri"/>
        </w:rPr>
        <w:t xml:space="preserve"> — one-click local server install MUST show the full command and get explicit consent; servers SHOULD be sandboxed; local HTTP servers need auth (or use stdio/IPC). Applies to developer laptops (Kiro, Claude Code).</w:t>
      </w:r>
    </w:p>
    <w:p>
      <w:pPr>
        <w:pStyle w:val="ListParagraph"/>
        <w:numPr>
          <w:ilvl w:val="0"/>
          <w:numId w:val="2"/>
        </w:numPr>
        <w:spacing w:after="60"/>
      </w:pPr>
      <w:r>
        <w:rPr>
          <w:rFonts w:ascii="Calibri" w:cs="Calibri" w:eastAsia="Calibri" w:hAnsi="Calibri"/>
          <w:b/>
          <w:bCs/>
        </w:rPr>
        <w:t xml:space="preserve">Authorization URL validation</w:t>
      </w:r>
      <w:r>
        <w:rPr>
          <w:rFonts w:ascii="Calibri" w:cs="Calibri" w:eastAsia="Calibri" w:hAnsi="Calibri"/>
        </w:rPr>
        <w:t xml:space="preserve"> — clients MUST reject </w:t>
      </w:r>
      <w:r>
        <w:rPr>
          <w:rFonts w:ascii="Consolas" w:cs="Consolas" w:eastAsia="Consolas" w:hAnsi="Consolas"/>
          <w:sz w:val="19"/>
          <w:szCs w:val="19"/>
        </w:rPr>
        <w:t xml:space="preserve">javascript:</w:t>
      </w:r>
      <w:r>
        <w:rPr>
          <w:rFonts w:ascii="Calibri" w:cs="Calibri" w:eastAsia="Calibri" w:hAnsi="Calibri"/>
        </w:rPr>
        <w:t xml:space="preserve">/</w:t>
      </w:r>
      <w:r>
        <w:rPr>
          <w:rFonts w:ascii="Consolas" w:cs="Consolas" w:eastAsia="Consolas" w:hAnsi="Consolas"/>
          <w:sz w:val="19"/>
          <w:szCs w:val="19"/>
        </w:rPr>
        <w:t xml:space="preserve">file:</w:t>
      </w:r>
      <w:r>
        <w:rPr>
          <w:rFonts w:ascii="Calibri" w:cs="Calibri" w:eastAsia="Calibri" w:hAnsi="Calibri"/>
        </w:rPr>
        <w:t xml:space="preserve"> schemes and MUST NOT open URLs via shell (the root cause of mcp-remote CVE-2025-6514).</w:t>
      </w:r>
    </w:p>
    <w:p>
      <w:pPr>
        <w:pStyle w:val="ListParagraph"/>
        <w:numPr>
          <w:ilvl w:val="0"/>
          <w:numId w:val="2"/>
        </w:numPr>
        <w:spacing w:after="60"/>
      </w:pPr>
      <w:r>
        <w:rPr>
          <w:rFonts w:ascii="Calibri" w:cs="Calibri" w:eastAsia="Calibri" w:hAnsi="Calibri"/>
          <w:b/>
          <w:bCs/>
        </w:rPr>
        <w:t xml:space="preserve">Scope minimization</w:t>
      </w:r>
      <w:r>
        <w:rPr>
          <w:rFonts w:ascii="Calibri" w:cs="Calibri" w:eastAsia="Calibri" w:hAnsi="Calibri"/>
        </w:rPr>
        <w:t xml:space="preserve"> — no wildcard scopes; minimal initial scope plus step-up challenges; log elevation events.</w:t>
      </w:r>
    </w:p>
    <w:p>
      <w:pPr>
        <w:pStyle w:val="Heading2"/>
      </w:pPr>
      <w:r>
        <w:rPr>
          <w:rFonts w:ascii="Calibri" w:cs="Calibri" w:eastAsia="Calibri" w:hAnsi="Calibri"/>
        </w:rPr>
        <w:t xml:space="preserve">4.3 Real incidents — use as evidence in D3/D6</w:t>
      </w:r>
    </w:p>
    <w:tbl>
      <w:tblPr>
        <w:tblW w:type="dxa" w:w="138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6"/>
        <w:gridCol w:w="6130"/>
        <w:gridCol w:w="6288"/>
      </w:tblGrid>
      <w:tr>
        <w:trPr>
          <w:tblHeader/>
        </w:trPr>
        <w:tc>
          <w:tcPr>
            <w:tcW w:type="dxa" w:w="140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When</w:t>
            </w:r>
          </w:p>
        </w:tc>
        <w:tc>
          <w:tcPr>
            <w:tcW w:type="dxa" w:w="613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Incident</w:t>
            </w:r>
          </w:p>
        </w:tc>
        <w:tc>
          <w:tcPr>
            <w:tcW w:type="dxa" w:w="62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Lesson → control</w:t>
            </w:r>
          </w:p>
        </w:tc>
      </w:tr>
      <w:tr>
        <w:trPr>
          <w:cantSplit/>
        </w:trPr>
        <w:tc>
          <w:tcPr>
            <w:tcW w:type="dxa" w:w="1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Apr 2025</w:t>
            </w:r>
          </w:p>
        </w:tc>
        <w:tc>
          <w:tcPr>
            <w:tcW w:type="dxa" w:w="61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WhatsApp MCP tool poisoning</w:t>
            </w:r>
          </w:p>
        </w:tc>
        <w:tc>
          <w:tcPr>
            <w:tcW w:type="dxa" w:w="6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Tool description = attack surface → signed/pinned descriptions (M2)</w:t>
            </w:r>
          </w:p>
        </w:tc>
      </w:tr>
      <w:tr>
        <w:trPr>
          <w:cantSplit/>
        </w:trPr>
        <w:tc>
          <w:tcPr>
            <w:tcW w:type="dxa" w:w="140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May 2025</w:t>
            </w:r>
          </w:p>
        </w:tc>
        <w:tc>
          <w:tcPr>
            <w:tcW w:type="dxa" w:w="613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GitHub MCP prompt-injection: public issue hijacks agent, over-privileged PAT leaks private repos</w:t>
            </w:r>
          </w:p>
        </w:tc>
        <w:tc>
          <w:tcPr>
            <w:tcW w:type="dxa" w:w="628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Lethal trifecta + broad token → Rule of Two, scoped tokens (A4, M3)</w:t>
            </w:r>
          </w:p>
        </w:tc>
      </w:tr>
      <w:tr>
        <w:trPr>
          <w:cantSplit/>
        </w:trPr>
        <w:tc>
          <w:tcPr>
            <w:tcW w:type="dxa" w:w="1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Jun 2025</w:t>
            </w:r>
          </w:p>
        </w:tc>
        <w:tc>
          <w:tcPr>
            <w:tcW w:type="dxa" w:w="61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Asana MCP cross-tenant exposure</w:t>
            </w:r>
          </w:p>
        </w:tc>
        <w:tc>
          <w:tcPr>
            <w:tcW w:type="dxa" w:w="6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Tenant isolation in MCP servers (M3)</w:t>
            </w:r>
          </w:p>
        </w:tc>
      </w:tr>
      <w:tr>
        <w:trPr>
          <w:cantSplit/>
        </w:trPr>
        <w:tc>
          <w:tcPr>
            <w:tcW w:type="dxa" w:w="140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Jun 2025</w:t>
            </w:r>
          </w:p>
        </w:tc>
        <w:tc>
          <w:tcPr>
            <w:tcW w:type="dxa" w:w="613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MCP Inspector RCE (CVE-2025-49596)</w:t>
            </w:r>
          </w:p>
        </w:tc>
        <w:tc>
          <w:tcPr>
            <w:tcW w:type="dxa" w:w="628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Dev tools on localhost need auth → developer pattern D2</w:t>
            </w:r>
          </w:p>
        </w:tc>
      </w:tr>
      <w:tr>
        <w:trPr>
          <w:cantSplit/>
        </w:trPr>
        <w:tc>
          <w:tcPr>
            <w:tcW w:type="dxa" w:w="1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Jul 2025</w:t>
            </w:r>
          </w:p>
        </w:tc>
        <w:tc>
          <w:tcPr>
            <w:tcW w:type="dxa" w:w="61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mcp-remote OS command injection (CVE-2025-6514), 437k+ downloads</w:t>
            </w:r>
          </w:p>
        </w:tc>
        <w:tc>
          <w:tcPr>
            <w:tcW w:type="dxa" w:w="6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Client-side URL validation; approved client versions (M5, D1)</w:t>
            </w:r>
          </w:p>
        </w:tc>
      </w:tr>
      <w:tr>
        <w:trPr>
          <w:cantSplit/>
        </w:trPr>
        <w:tc>
          <w:tcPr>
            <w:tcW w:type="dxa" w:w="140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Sep 2025</w:t>
            </w:r>
          </w:p>
        </w:tc>
        <w:tc>
          <w:tcPr>
            <w:tcW w:type="dxa" w:w="613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Malicious </w:t>
            </w:r>
            <w:r>
              <w:rPr>
                <w:rFonts w:ascii="Consolas" w:cs="Consolas" w:eastAsia="Consolas" w:hAnsi="Consolas"/>
                <w:sz w:val="16"/>
                <w:szCs w:val="16"/>
              </w:rPr>
              <w:t xml:space="preserve">postmark-mcp</w:t>
            </w:r>
            <w:r>
              <w:rPr>
                <w:rFonts w:ascii="Calibri" w:cs="Calibri" w:eastAsia="Calibri" w:hAnsi="Calibri"/>
                <w:sz w:val="17"/>
                <w:szCs w:val="17"/>
              </w:rPr>
              <w:t xml:space="preserve"> npm package BCC'd every email to attacker</w:t>
            </w:r>
          </w:p>
        </w:tc>
        <w:tc>
          <w:tcPr>
            <w:tcW w:type="dxa" w:w="628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Private registry only; no public installs (M2)</w:t>
            </w:r>
          </w:p>
        </w:tc>
      </w:tr>
      <w:tr>
        <w:trPr>
          <w:cantSplit/>
        </w:trPr>
        <w:tc>
          <w:tcPr>
            <w:tcW w:type="dxa" w:w="140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Oct 2025</w:t>
            </w:r>
          </w:p>
        </w:tc>
        <w:tc>
          <w:tcPr>
            <w:tcW w:type="dxa" w:w="613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Smithery MCP hosting path traversal leaked registry/infra credentials</w:t>
            </w:r>
          </w:p>
        </w:tc>
        <w:tc>
          <w:tcPr>
            <w:tcW w:type="dxa" w:w="62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Third-party MCP hosting = supplier risk → vendor due diligence (M2)</w:t>
            </w:r>
          </w:p>
        </w:tc>
      </w:tr>
      <w:tr>
        <w:trPr>
          <w:cantSplit/>
        </w:trPr>
        <w:tc>
          <w:tcPr>
            <w:tcW w:type="dxa" w:w="140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Jan–Apr 2026</w:t>
            </w:r>
          </w:p>
        </w:tc>
        <w:tc>
          <w:tcPr>
            <w:tcW w:type="dxa" w:w="613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gemini-mcp-tool RCE (CVE-2026-0755), nginx-ui MCP auth bypass (CVE-2026-33032), MCP STDIO design issue</w:t>
            </w:r>
          </w:p>
        </w:tc>
        <w:tc>
          <w:tcPr>
            <w:tcW w:type="dxa" w:w="628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Command-injection class keeps recurring → sandbox + gateway, don't rely on server code quality</w:t>
            </w:r>
          </w:p>
        </w:tc>
      </w:tr>
    </w:tbl>
    <w:p>
      <w:pPr>
        <w:spacing w:after="60"/>
      </w:pPr>
    </w:p>
    <w:p>
      <w:pPr>
        <w:spacing w:after="120"/>
      </w:pPr>
      <w:r>
        <w:rPr>
          <w:rFonts w:ascii="Calibri" w:cs="Calibri" w:eastAsia="Calibri" w:hAnsi="Calibri"/>
        </w:rPr>
        <w:t xml:space="preserve">Sources: </w:t>
      </w:r>
      <w:hyperlink w:history="1" r:id="rIdiesw0af6of1ofp02mgla3">
        <w:r>
          <w:rPr>
            <w:rStyle w:val="Hyperlink"/>
            <w:rFonts w:ascii="Calibri" w:cs="Calibri" w:eastAsia="Calibri" w:hAnsi="Calibri"/>
          </w:rPr>
          <w:t xml:space="preserve">AuthZed MCP breach timeline</w:t>
        </w:r>
      </w:hyperlink>
      <w:r>
        <w:rPr>
          <w:rFonts w:ascii="Calibri" w:cs="Calibri" w:eastAsia="Calibri" w:hAnsi="Calibri"/>
        </w:rPr>
        <w:t xml:space="preserve"> · </w:t>
      </w:r>
      <w:hyperlink w:history="1" r:id="rIdwskldkqpzfubltx1hazub">
        <w:r>
          <w:rPr>
            <w:rStyle w:val="Hyperlink"/>
            <w:rFonts w:ascii="Calibri" w:cs="Calibri" w:eastAsia="Calibri" w:hAnsi="Calibri"/>
          </w:rPr>
          <w:t xml:space="preserve">GHSA for CVE-2025-6514</w:t>
        </w:r>
      </w:hyperlink>
      <w:r>
        <w:rPr>
          <w:rFonts w:ascii="Calibri" w:cs="Calibri" w:eastAsia="Calibri" w:hAnsi="Calibri"/>
        </w:rPr>
        <w:t xml:space="preserve"> · </w:t>
      </w:r>
      <w:hyperlink w:history="1" r:id="rIdndoemejcdeyjv03axjsr-">
        <w:r>
          <w:rPr>
            <w:rStyle w:val="Hyperlink"/>
            <w:rFonts w:ascii="Calibri" w:cs="Calibri" w:eastAsia="Calibri" w:hAnsi="Calibri"/>
          </w:rPr>
          <w:t xml:space="preserve">Snyk on postmark-mcp</w:t>
        </w:r>
      </w:hyperlink>
      <w:r>
        <w:rPr>
          <w:rFonts w:ascii="Calibri" w:cs="Calibri" w:eastAsia="Calibri" w:hAnsi="Calibri"/>
        </w:rPr>
        <w:t xml:space="preserve"> · </w:t>
      </w:r>
      <w:hyperlink w:history="1" r:id="rIdfiro63wiadst_w_xsb8cz">
        <w:r>
          <w:rPr>
            <w:rStyle w:val="Hyperlink"/>
            <w:rFonts w:ascii="Calibri" w:cs="Calibri" w:eastAsia="Calibri" w:hAnsi="Calibri"/>
          </w:rPr>
          <w:t xml:space="preserve">UpGuard MCP incidents</w:t>
        </w:r>
      </w:hyperlink>
      <w:r>
        <w:rPr>
          <w:rFonts w:ascii="Calibri" w:cs="Calibri" w:eastAsia="Calibri" w:hAnsi="Calibri"/>
        </w:rPr>
        <w:t xml:space="preserve"> · </w:t>
      </w:r>
      <w:hyperlink w:history="1" r:id="rId4d78xixxeyh-lgsxdxsp_">
        <w:r>
          <w:rPr>
            <w:rStyle w:val="Hyperlink"/>
            <w:rFonts w:ascii="Calibri" w:cs="Calibri" w:eastAsia="Calibri" w:hAnsi="Calibri"/>
          </w:rPr>
          <w:t xml:space="preserve">Vulnerable MCP database</w:t>
        </w:r>
      </w:hyperlink>
    </w:p>
    <w:p>
      <w:pPr>
        <w:pStyle w:val="Heading2"/>
      </w:pPr>
      <w:r>
        <w:rPr>
          <w:rFonts w:ascii="Calibri" w:cs="Calibri" w:eastAsia="Calibri" w:hAnsi="Calibri"/>
        </w:rPr>
        <w:t xml:space="preserve">4.4 MCP gateway patterns (M-series) and how they map to the D6 criteria</w:t>
      </w:r>
    </w:p>
    <w:tbl>
      <w:tblPr>
        <w:tblW w:type="dxa" w:w="138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8"/>
        <w:gridCol w:w="2096"/>
        <w:gridCol w:w="7909"/>
        <w:gridCol w:w="2831"/>
      </w:tblGrid>
      <w:tr>
        <w:trPr>
          <w:tblHeader/>
        </w:trPr>
        <w:tc>
          <w:tcPr>
            <w:tcW w:type="dxa" w:w="9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w:t>
            </w:r>
          </w:p>
        </w:tc>
        <w:tc>
          <w:tcPr>
            <w:tcW w:type="dxa" w:w="209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Pattern</w:t>
            </w:r>
          </w:p>
        </w:tc>
        <w:tc>
          <w:tcPr>
            <w:tcW w:type="dxa" w:w="790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Core controls</w:t>
            </w:r>
          </w:p>
        </w:tc>
        <w:tc>
          <w:tcPr>
            <w:tcW w:type="dxa" w:w="283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D6 criterion (09/17 list)</w:t>
            </w:r>
          </w:p>
        </w:tc>
      </w:tr>
      <w:tr>
        <w:trPr>
          <w:cantSplit/>
        </w:trPr>
        <w:tc>
          <w:tcPr>
            <w:tcW w:type="dxa" w:w="9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M1</w:t>
            </w:r>
          </w:p>
        </w:tc>
        <w:tc>
          <w:tcPr>
            <w:tcW w:type="dxa" w:w="20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b/>
                <w:bCs/>
                <w:sz w:val="17"/>
                <w:szCs w:val="17"/>
              </w:rPr>
              <w:t xml:space="preserve">Central MCP gateway</w:t>
            </w:r>
          </w:p>
        </w:tc>
        <w:tc>
          <w:tcPr>
            <w:tcW w:type="dxa" w:w="79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All agent→tool traffic via gateway; composite </w:t>
            </w:r>
            <w:r>
              <w:rPr>
                <w:rFonts w:ascii="Consolas" w:cs="Consolas" w:eastAsia="Consolas" w:hAnsi="Consolas"/>
                <w:sz w:val="16"/>
                <w:szCs w:val="16"/>
              </w:rPr>
              <w:t xml:space="preserve">tools/list</w:t>
            </w:r>
            <w:r>
              <w:rPr>
                <w:rFonts w:ascii="Calibri" w:cs="Calibri" w:eastAsia="Calibri" w:hAnsi="Calibri"/>
                <w:sz w:val="17"/>
                <w:szCs w:val="17"/>
              </w:rPr>
              <w:t xml:space="preserve">; </w:t>
            </w:r>
            <w:r>
              <w:rPr>
                <w:rFonts w:ascii="Calibri" w:cs="Calibri" w:eastAsia="Calibri" w:hAnsi="Calibri"/>
                <w:b/>
                <w:bCs/>
                <w:sz w:val="17"/>
                <w:szCs w:val="17"/>
              </w:rPr>
              <w:t xml:space="preserve">policy applied at discovery</w:t>
            </w:r>
            <w:r>
              <w:rPr>
                <w:rFonts w:ascii="Calibri" w:cs="Calibri" w:eastAsia="Calibri" w:hAnsi="Calibri"/>
                <w:sz w:val="17"/>
                <w:szCs w:val="17"/>
              </w:rPr>
              <w:t xml:space="preserve"> (unauthorized tools hidden, not just blocked); per-agent/tool rate limits</w:t>
            </w:r>
          </w:p>
        </w:tc>
        <w:tc>
          <w:tcPr>
            <w:tcW w:type="dxa" w:w="2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MCP support; Security &amp; governance</w:t>
            </w:r>
          </w:p>
        </w:tc>
      </w:tr>
      <w:tr>
        <w:trPr>
          <w:cantSplit/>
        </w:trPr>
        <w:tc>
          <w:tcPr>
            <w:tcW w:type="dxa" w:w="98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M2</w:t>
            </w:r>
          </w:p>
        </w:tc>
        <w:tc>
          <w:tcPr>
            <w:tcW w:type="dxa" w:w="209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b/>
                <w:bCs/>
                <w:sz w:val="17"/>
                <w:szCs w:val="17"/>
              </w:rPr>
              <w:t xml:space="preserve">Private MCP registry &amp; supply chain</w:t>
            </w:r>
          </w:p>
        </w:tc>
        <w:tc>
          <w:tcPr>
            <w:tcW w:type="dxa" w:w="7909"/>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Approved, version-pinned servers only; signed tool descriptions; change detection; SBOM + vuln gate; no public npm/pypi installs</w:t>
            </w:r>
          </w:p>
        </w:tc>
        <w:tc>
          <w:tcPr>
            <w:tcW w:type="dxa" w:w="283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Security &amp; governance</w:t>
            </w:r>
          </w:p>
        </w:tc>
      </w:tr>
      <w:tr>
        <w:trPr>
          <w:cantSplit/>
        </w:trPr>
        <w:tc>
          <w:tcPr>
            <w:tcW w:type="dxa" w:w="9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M3</w:t>
            </w:r>
          </w:p>
        </w:tc>
        <w:tc>
          <w:tcPr>
            <w:tcW w:type="dxa" w:w="20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b/>
                <w:bCs/>
                <w:sz w:val="17"/>
                <w:szCs w:val="17"/>
              </w:rPr>
              <w:t xml:space="preserve">AuthN/Z to spec</w:t>
            </w:r>
          </w:p>
        </w:tc>
        <w:tc>
          <w:tcPr>
            <w:tcW w:type="dxa" w:w="79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OAuth 2.1 + PKCE; audience-bound tokens (no passthrough); per-client consent; progressive scopes; OBO to backends; tenant isolation</w:t>
            </w:r>
          </w:p>
        </w:tc>
        <w:tc>
          <w:tcPr>
            <w:tcW w:type="dxa" w:w="2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MCP support; </w:t>
            </w:r>
            <w:r>
              <w:rPr>
                <w:rFonts w:ascii="Calibri" w:cs="Calibri" w:eastAsia="Calibri" w:hAnsi="Calibri"/>
                <w:b/>
                <w:bCs/>
                <w:sz w:val="17"/>
                <w:szCs w:val="17"/>
              </w:rPr>
              <w:t xml:space="preserve">TMNA stack integration</w:t>
            </w:r>
            <w:r>
              <w:rPr>
                <w:rFonts w:ascii="Calibri" w:cs="Calibri" w:eastAsia="Calibri" w:hAnsi="Calibri"/>
                <w:sz w:val="17"/>
                <w:szCs w:val="17"/>
              </w:rPr>
              <w:t xml:space="preserve"> (IdP, Okta/Entra, AWS IAM)</w:t>
            </w:r>
          </w:p>
        </w:tc>
      </w:tr>
      <w:tr>
        <w:trPr>
          <w:cantSplit/>
        </w:trPr>
        <w:tc>
          <w:tcPr>
            <w:tcW w:type="dxa" w:w="98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M4</w:t>
            </w:r>
          </w:p>
        </w:tc>
        <w:tc>
          <w:tcPr>
            <w:tcW w:type="dxa" w:w="209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b/>
                <w:bCs/>
                <w:sz w:val="17"/>
                <w:szCs w:val="17"/>
              </w:rPr>
              <w:t xml:space="preserve">Content inspection</w:t>
            </w:r>
          </w:p>
        </w:tc>
        <w:tc>
          <w:tcPr>
            <w:tcW w:type="dxa" w:w="7909"/>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Injection/poisoning scan on tool descriptions and tool results; PII redaction on results</w:t>
            </w:r>
          </w:p>
        </w:tc>
        <w:tc>
          <w:tcPr>
            <w:tcW w:type="dxa" w:w="283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Security &amp; governance</w:t>
            </w:r>
          </w:p>
        </w:tc>
      </w:tr>
      <w:tr>
        <w:trPr>
          <w:cantSplit/>
        </w:trPr>
        <w:tc>
          <w:tcPr>
            <w:tcW w:type="dxa" w:w="9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M5</w:t>
            </w:r>
          </w:p>
        </w:tc>
        <w:tc>
          <w:tcPr>
            <w:tcW w:type="dxa" w:w="20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b/>
                <w:bCs/>
                <w:sz w:val="17"/>
                <w:szCs w:val="17"/>
              </w:rPr>
              <w:t xml:space="preserve">Server isolation</w:t>
            </w:r>
          </w:p>
        </w:tc>
        <w:tc>
          <w:tcPr>
            <w:tcW w:type="dxa" w:w="79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Remote servers in containers with egress allowlist; local servers sandboxed; no shell exec with untrusted input</w:t>
            </w:r>
          </w:p>
        </w:tc>
        <w:tc>
          <w:tcPr>
            <w:tcW w:type="dxa" w:w="2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Deployment flexibility</w:t>
            </w:r>
          </w:p>
        </w:tc>
      </w:tr>
      <w:tr>
        <w:trPr>
          <w:cantSplit/>
        </w:trPr>
        <w:tc>
          <w:tcPr>
            <w:tcW w:type="dxa" w:w="98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M6</w:t>
            </w:r>
          </w:p>
        </w:tc>
        <w:tc>
          <w:tcPr>
            <w:tcW w:type="dxa" w:w="209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b/>
                <w:bCs/>
                <w:sz w:val="17"/>
                <w:szCs w:val="17"/>
              </w:rPr>
              <w:t xml:space="preserve">Audit &amp; telemetry</w:t>
            </w:r>
          </w:p>
        </w:tc>
        <w:tc>
          <w:tcPr>
            <w:tcW w:type="dxa" w:w="7909"/>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Log every call (agent ID, user, tool, params redacted, result size, decision) → SIEM; OpenTelemetry traces</w:t>
            </w:r>
          </w:p>
        </w:tc>
        <w:tc>
          <w:tcPr>
            <w:tcW w:type="dxa" w:w="283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Observability &amp; audit</w:t>
            </w:r>
          </w:p>
        </w:tc>
      </w:tr>
      <w:tr>
        <w:trPr>
          <w:cantSplit/>
        </w:trPr>
        <w:tc>
          <w:tcPr>
            <w:tcW w:type="dxa" w:w="9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M7</w:t>
            </w:r>
          </w:p>
        </w:tc>
        <w:tc>
          <w:tcPr>
            <w:tcW w:type="dxa" w:w="20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b/>
                <w:bCs/>
                <w:sz w:val="17"/>
                <w:szCs w:val="17"/>
              </w:rPr>
              <w:t xml:space="preserve">Discovery of shadow MCP</w:t>
            </w:r>
          </w:p>
        </w:tc>
        <w:tc>
          <w:tcPr>
            <w:tcW w:type="dxa" w:w="790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SALT AG-SPM (API side) + endpoint/IDE config scan (developer side) + gateway "unregistered server" alerts</w:t>
            </w:r>
          </w:p>
        </w:tc>
        <w:tc>
          <w:tcPr>
            <w:tcW w:type="dxa" w:w="283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Observability (and D7 input)</w:t>
            </w:r>
          </w:p>
        </w:tc>
      </w:tr>
      <w:tr>
        <w:trPr>
          <w:cantSplit/>
        </w:trPr>
        <w:tc>
          <w:tcPr>
            <w:tcW w:type="dxa" w:w="98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M8</w:t>
            </w:r>
          </w:p>
        </w:tc>
        <w:tc>
          <w:tcPr>
            <w:tcW w:type="dxa" w:w="209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b/>
                <w:bCs/>
                <w:sz w:val="17"/>
                <w:szCs w:val="17"/>
              </w:rPr>
              <w:t xml:space="preserve">Fail-closed + kill switch</w:t>
            </w:r>
          </w:p>
        </w:tc>
        <w:tc>
          <w:tcPr>
            <w:tcW w:type="dxa" w:w="7909"/>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High-capability agents fail closed when the gateway is down, with a defined fallback (human-in-loop or halt); per-agent/per-tool disable</w:t>
            </w:r>
          </w:p>
        </w:tc>
        <w:tc>
          <w:tcPr>
            <w:tcW w:type="dxa" w:w="283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Security &amp; governance</w:t>
            </w:r>
          </w:p>
        </w:tc>
      </w:tr>
    </w:tbl>
    <w:p>
      <w:pPr>
        <w:spacing w:after="60"/>
      </w:pPr>
    </w:p>
    <w:p>
      <w:pPr>
        <w:spacing w:after="120"/>
      </w:pPr>
      <w:r>
        <w:rPr>
          <w:rFonts w:ascii="Calibri" w:cs="Calibri" w:eastAsia="Calibri" w:hAnsi="Calibri"/>
        </w:rPr>
        <w:t xml:space="preserve">AWS-native reference to compare vendors against: </w:t>
      </w:r>
      <w:r>
        <w:rPr>
          <w:rFonts w:ascii="Calibri" w:cs="Calibri" w:eastAsia="Calibri" w:hAnsi="Calibri"/>
          <w:b/>
          <w:bCs/>
        </w:rPr>
        <w:t xml:space="preserve">Bedrock AgentCore Gateway + Policy + Identity</w:t>
      </w:r>
      <w:r>
        <w:rPr>
          <w:rFonts w:ascii="Calibri" w:cs="Calibri" w:eastAsia="Calibri" w:hAnsi="Calibri"/>
        </w:rPr>
        <w:t xml:space="preserve">. Policies in Cedar are enforced at the gateway, outside agent code, and can depend on user identity and tool input parameters. That matches M1/M3/M8 and is the likely TMNA-stack-fit baseline. </w:t>
      </w:r>
      <w:hyperlink w:history="1" r:id="rIdhg96w3mhro6elf9ik9rwz">
        <w:r>
          <w:rPr>
            <w:rStyle w:val="Hyperlink"/>
            <w:rFonts w:ascii="Calibri" w:cs="Calibri" w:eastAsia="Calibri" w:hAnsi="Calibri"/>
          </w:rPr>
          <w:t xml:space="preserve">AgentCore Policy</w:t>
        </w:r>
      </w:hyperlink>
      <w:r>
        <w:rPr>
          <w:rFonts w:ascii="Calibri" w:cs="Calibri" w:eastAsia="Calibri" w:hAnsi="Calibri"/>
        </w:rPr>
        <w:t xml:space="preserve"> · </w:t>
      </w:r>
      <w:hyperlink w:history="1" r:id="rIdkzdvsf016-y0zbimwfrnk">
        <w:r>
          <w:rPr>
            <w:rStyle w:val="Hyperlink"/>
            <w:rFonts w:ascii="Calibri" w:cs="Calibri" w:eastAsia="Calibri" w:hAnsi="Calibri"/>
          </w:rPr>
          <w:t xml:space="preserve">AgentCore Gateway</w:t>
        </w:r>
      </w:hyperlink>
      <w:r>
        <w:rPr>
          <w:rFonts w:ascii="Calibri" w:cs="Calibri" w:eastAsia="Calibri" w:hAnsi="Calibri"/>
        </w:rPr>
        <w:t xml:space="preserve"> · </w:t>
      </w:r>
      <w:hyperlink w:history="1" r:id="rIdittvdhkah0wukzby0flft">
        <w:r>
          <w:rPr>
            <w:rStyle w:val="Hyperlink"/>
            <w:rFonts w:ascii="Calibri" w:cs="Calibri" w:eastAsia="Calibri" w:hAnsi="Calibri"/>
          </w:rPr>
          <w:t xml:space="preserve">Gateway interceptors for fine-grained access</w:t>
        </w:r>
      </w:hyperlink>
    </w:p>
    <w:p>
      <w:pPr>
        <w:spacing w:after="120"/>
      </w:pPr>
      <w:r>
        <w:rPr>
          <w:rFonts w:ascii="Calibri" w:cs="Calibri" w:eastAsia="Calibri" w:hAnsi="Calibri"/>
        </w:rPr>
        <w:t xml:space="preserve">Guardium (09/14 ask): IBM announced agentic AI monitoring in Guardium (private preview, June 2026). It captures prompts, agent actions and MCP/tool activity, uses the Claude Compliance API, and correlates with data access down to column level. That's </w:t>
      </w:r>
      <w:r>
        <w:rPr>
          <w:rFonts w:ascii="Calibri" w:cs="Calibri" w:eastAsia="Calibri" w:hAnsi="Calibri"/>
          <w:b/>
          <w:bCs/>
        </w:rPr>
        <w:t xml:space="preserve">monitoring and audit, not an inline gateway</w:t>
      </w:r>
      <w:r>
        <w:rPr>
          <w:rFonts w:ascii="Calibri" w:cs="Calibri" w:eastAsia="Calibri" w:hAnsi="Calibri"/>
        </w:rPr>
        <w:t xml:space="preserve">, so score it as observability/discovery alongside SALT unless the internal owner shows an enforcement component. </w:t>
      </w:r>
      <w:hyperlink w:history="1" r:id="rIdgbltwoqrkghrpwdvkxmmo">
        <w:r>
          <w:rPr>
            <w:rStyle w:val="Hyperlink"/>
            <w:rFonts w:ascii="Calibri" w:cs="Calibri" w:eastAsia="Calibri" w:hAnsi="Calibri"/>
          </w:rPr>
          <w:t xml:space="preserve">IBM announcement</w:t>
        </w:r>
      </w:hyperlink>
      <w:r>
        <w:rPr>
          <w:rFonts w:ascii="Calibri" w:cs="Calibri" w:eastAsia="Calibri" w:hAnsi="Calibri"/>
        </w:rPr>
        <w:t xml:space="preserve"> · </w:t>
      </w:r>
      <w:hyperlink w:history="1" r:id="rIdbgtrvxzzxa20q4cna948z">
        <w:r>
          <w:rPr>
            <w:rStyle w:val="Hyperlink"/>
            <w:rFonts w:ascii="Calibri" w:cs="Calibri" w:eastAsia="Calibri" w:hAnsi="Calibri"/>
          </w:rPr>
          <w:t xml:space="preserve">Guardium AI Security on AWS</w:t>
        </w:r>
      </w:hyperlink>
    </w:p>
    <w:p>
      <w:pPr>
        <w:pStyle w:val="Heading1"/>
      </w:pPr>
      <w:r>
        <w:rPr>
          <w:rFonts w:ascii="Calibri" w:cs="Calibri" w:eastAsia="Calibri" w:hAnsi="Calibri"/>
        </w:rPr>
        <w:t xml:space="preserve">5. Patterns by AI category (Ben's categories)</w:t>
      </w:r>
    </w:p>
    <w:p>
      <w:pPr>
        <w:pStyle w:val="Heading2"/>
      </w:pPr>
      <w:r>
        <w:rPr>
          <w:rFonts w:ascii="Calibri" w:cs="Calibri" w:eastAsia="Calibri" w:hAnsi="Calibri"/>
        </w:rPr>
        <w:t xml:space="preserve">5.1 Workforce AI — Amazon Q, Claude Chat, browser GenAI</w:t>
      </w:r>
    </w:p>
    <w:p>
      <w:pPr>
        <w:spacing w:after="120"/>
      </w:pPr>
      <w:r>
        <w:rPr>
          <w:rFonts w:ascii="Calibri" w:cs="Calibri" w:eastAsia="Calibri" w:hAnsi="Calibri"/>
        </w:rPr>
        <w:t xml:space="preserve">Scope: GenAI S1 (personal/shadow) and S2 (sanctioned tenants). Most leakage happens by paste/upload in the browser, which file-centric DLP doesn't see (</w:t>
      </w:r>
      <w:hyperlink w:history="1" r:id="rIduxz3p0fgvgydnrrkqofyy">
        <w:r>
          <w:rPr>
            <w:rStyle w:val="Hyperlink"/>
            <w:rFonts w:ascii="Calibri" w:cs="Calibri" w:eastAsia="Calibri" w:hAnsi="Calibri"/>
          </w:rPr>
          <w:t xml:space="preserve">Island</w:t>
        </w:r>
      </w:hyperlink>
      <w:r>
        <w:rPr>
          <w:rFonts w:ascii="Calibri" w:cs="Calibri" w:eastAsia="Calibri" w:hAnsi="Calibri"/>
        </w:rPr>
        <w:t xml:space="preserve">, </w:t>
      </w:r>
      <w:hyperlink w:history="1" r:id="rIdglqbcwhzrhj2lddxzl_vn">
        <w:r>
          <w:rPr>
            <w:rStyle w:val="Hyperlink"/>
            <w:rFonts w:ascii="Calibri" w:cs="Calibri" w:eastAsia="Calibri" w:hAnsi="Calibri"/>
          </w:rPr>
          <w:t xml:space="preserve">Edge for Business, RSAC 2026</w:t>
        </w:r>
      </w:hyperlink>
      <w:r>
        <w:rPr>
          <w:rFonts w:ascii="Calibri" w:cs="Calibri" w:eastAsia="Calibri" w:hAnsi="Calibri"/>
        </w:rPr>
        <w:t xml:space="preserve">).</w:t>
      </w:r>
    </w:p>
    <w:tbl>
      <w:tblPr>
        <w:tblW w:type="dxa" w:w="138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4"/>
        <w:gridCol w:w="3704"/>
        <w:gridCol w:w="8746"/>
      </w:tblGrid>
      <w:tr>
        <w:trPr>
          <w:tblHeader/>
        </w:trPr>
        <w:tc>
          <w:tcPr>
            <w:tcW w:type="dxa" w:w="137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w:t>
            </w:r>
          </w:p>
        </w:tc>
        <w:tc>
          <w:tcPr>
            <w:tcW w:type="dxa" w:w="370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Pattern</w:t>
            </w:r>
          </w:p>
        </w:tc>
        <w:tc>
          <w:tcPr>
            <w:tcW w:type="dxa" w:w="87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Key controls</w:t>
            </w:r>
          </w:p>
        </w:tc>
      </w:tr>
      <w:tr>
        <w:trPr>
          <w:cantSplit/>
        </w:trPr>
        <w:tc>
          <w:tcPr>
            <w:tcW w:type="dxa" w:w="1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W1</w:t>
            </w:r>
          </w:p>
        </w:tc>
        <w:tc>
          <w:tcPr>
            <w:tcW w:type="dxa" w:w="37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Sanctioned AI front door</w:t>
            </w:r>
          </w:p>
        </w:tc>
        <w:tc>
          <w:tcPr>
            <w:tcW w:type="dxa" w:w="8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Enterprise tenant, SSO-only, no-training/retention terms, audit logs; governed path easier than personal accounts</w:t>
            </w:r>
          </w:p>
        </w:tc>
      </w:tr>
      <w:tr>
        <w:trPr>
          <w:cantSplit/>
        </w:trPr>
        <w:tc>
          <w:tcPr>
            <w:tcW w:type="dxa" w:w="137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W2</w:t>
            </w:r>
          </w:p>
        </w:tc>
        <w:tc>
          <w:tcPr>
            <w:tcW w:type="dxa" w:w="370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Shadow AI discovery &amp; tenant restriction</w:t>
            </w:r>
          </w:p>
        </w:tc>
        <w:tc>
          <w:tcPr>
            <w:tcW w:type="dxa" w:w="874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SWG/CASB/browser discovery; allow corporate tenant only</w:t>
            </w:r>
          </w:p>
        </w:tc>
      </w:tr>
      <w:tr>
        <w:trPr>
          <w:cantSplit/>
        </w:trPr>
        <w:tc>
          <w:tcPr>
            <w:tcW w:type="dxa" w:w="1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W3</w:t>
            </w:r>
          </w:p>
        </w:tc>
        <w:tc>
          <w:tcPr>
            <w:tcW w:type="dxa" w:w="37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Browser-layer AI DLP</w:t>
            </w:r>
          </w:p>
        </w:tc>
        <w:tc>
          <w:tcPr>
            <w:tcW w:type="dxa" w:w="8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Inspect prompts/paste/uploads; warn-then-redact; needs data classification first</w:t>
            </w:r>
          </w:p>
        </w:tc>
      </w:tr>
      <w:tr>
        <w:trPr>
          <w:cantSplit/>
        </w:trPr>
        <w:tc>
          <w:tcPr>
            <w:tcW w:type="dxa" w:w="137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W4</w:t>
            </w:r>
          </w:p>
        </w:tc>
        <w:tc>
          <w:tcPr>
            <w:tcW w:type="dxa" w:w="3704"/>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Retrieval permission hygiene</w:t>
            </w:r>
          </w:p>
        </w:tc>
        <w:tc>
          <w:tcPr>
            <w:tcW w:type="dxa" w:w="874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Q Business ACL Analyzer before go-live (Extended Topics §5); Catalog §5.2</w:t>
            </w:r>
          </w:p>
        </w:tc>
      </w:tr>
      <w:tr>
        <w:trPr>
          <w:cantSplit/>
        </w:trPr>
        <w:tc>
          <w:tcPr>
            <w:tcW w:type="dxa" w:w="137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W5</w:t>
            </w:r>
          </w:p>
        </w:tc>
        <w:tc>
          <w:tcPr>
            <w:tcW w:type="dxa" w:w="370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Connector/MCP governance for assistants</w:t>
            </w:r>
          </w:p>
        </w:tc>
        <w:tc>
          <w:tcPr>
            <w:tcW w:type="dxa" w:w="8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Approved connectors/MCP only (M2); leaver deprovisioning; Claude connector admin controls</w:t>
            </w:r>
          </w:p>
        </w:tc>
      </w:tr>
    </w:tbl>
    <w:p>
      <w:pPr>
        <w:spacing w:after="60"/>
      </w:pPr>
    </w:p>
    <w:p>
      <w:pPr>
        <w:pStyle w:val="Heading2"/>
      </w:pPr>
      <w:r>
        <w:rPr>
          <w:rFonts w:ascii="Calibri" w:cs="Calibri" w:eastAsia="Calibri" w:hAnsi="Calibri"/>
        </w:rPr>
        <w:t xml:space="preserve">5.2 Developer AI — Kiro / ADE, Claude Code, Copilot</w:t>
      </w:r>
    </w:p>
    <w:p>
      <w:pPr>
        <w:spacing w:after="120"/>
      </w:pPr>
      <w:r>
        <w:rPr>
          <w:rFonts w:ascii="Calibri" w:cs="Calibri" w:eastAsia="Calibri" w:hAnsi="Calibri"/>
        </w:rPr>
        <w:t xml:space="preserve">Scope: Agentic 2–3. Worked example: Kiro CVE-2026-0830 (Extended Topics §2). Threat framing: agents run shell, install packages and push code; repo content is an injection channel; </w:t>
      </w:r>
      <w:r>
        <w:rPr>
          <w:rFonts w:ascii="Consolas" w:cs="Consolas" w:eastAsia="Consolas" w:hAnsi="Consolas"/>
          <w:sz w:val="19"/>
          <w:szCs w:val="19"/>
        </w:rPr>
        <w:t xml:space="preserve">.gitignore</w:t>
      </w:r>
      <w:r>
        <w:rPr>
          <w:rFonts w:ascii="Calibri" w:cs="Calibri" w:eastAsia="Calibri" w:hAnsi="Calibri"/>
        </w:rPr>
        <w:t xml:space="preserve"> doesn't stop reads; agents edit CI/CD (</w:t>
      </w:r>
      <w:hyperlink w:history="1" r:id="rId8r3fuh1ubtjbdd-1tedz7">
        <w:r>
          <w:rPr>
            <w:rStyle w:val="Hyperlink"/>
            <w:rFonts w:ascii="Calibri" w:cs="Calibri" w:eastAsia="Calibri" w:hAnsi="Calibri"/>
          </w:rPr>
          <w:t xml:space="preserve">OWASP Secure Coding with AI</w:t>
        </w:r>
      </w:hyperlink>
      <w:r>
        <w:rPr>
          <w:rFonts w:ascii="Calibri" w:cs="Calibri" w:eastAsia="Calibri" w:hAnsi="Calibri"/>
        </w:rPr>
        <w:t xml:space="preserve">).</w:t>
      </w:r>
    </w:p>
    <w:tbl>
      <w:tblPr>
        <w:tblW w:type="dxa" w:w="138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9"/>
        <w:gridCol w:w="2960"/>
        <w:gridCol w:w="9485"/>
      </w:tblGrid>
      <w:tr>
        <w:trPr>
          <w:tblHeader/>
        </w:trPr>
        <w:tc>
          <w:tcPr>
            <w:tcW w:type="dxa" w:w="137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w:t>
            </w:r>
          </w:p>
        </w:tc>
        <w:tc>
          <w:tcPr>
            <w:tcW w:type="dxa" w:w="29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Pattern</w:t>
            </w:r>
          </w:p>
        </w:tc>
        <w:tc>
          <w:tcPr>
            <w:tcW w:type="dxa" w:w="948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Key controls</w:t>
            </w:r>
          </w:p>
        </w:tc>
      </w:tr>
      <w:tr>
        <w:trPr>
          <w:cantSplit/>
        </w:trPr>
        <w:tc>
          <w:tcPr>
            <w:tcW w:type="dxa" w:w="1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D1</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Managed agent configuration</w:t>
            </w:r>
          </w:p>
        </w:tc>
        <w:tc>
          <w:tcPr>
            <w:tcW w:type="dxa" w:w="94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Central settings: autonomy mode by risk tier (no Autopilot outside sandbox), command/path deny lists, approved tool + version list, approved MCP servers only</w:t>
            </w:r>
          </w:p>
        </w:tc>
      </w:tr>
      <w:tr>
        <w:trPr>
          <w:cantSplit/>
        </w:trPr>
        <w:tc>
          <w:tcPr>
            <w:tcW w:type="dxa" w:w="1379"/>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D2</w:t>
            </w:r>
          </w:p>
        </w:tc>
        <w:tc>
          <w:tcPr>
            <w:tcW w:type="dxa" w:w="296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Sandboxed execution</w:t>
            </w:r>
          </w:p>
        </w:tc>
        <w:tc>
          <w:tcPr>
            <w:tcW w:type="dxa" w:w="9485"/>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Devcontainer/cloud dev env; egress allowlist; no inherited SSH/cloud creds; local MCP servers sandboxed (MCP spec)</w:t>
            </w:r>
          </w:p>
        </w:tc>
      </w:tr>
      <w:tr>
        <w:trPr>
          <w:cantSplit/>
        </w:trPr>
        <w:tc>
          <w:tcPr>
            <w:tcW w:type="dxa" w:w="1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D3</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Secrets isolation</w:t>
            </w:r>
          </w:p>
        </w:tc>
        <w:tc>
          <w:tcPr>
            <w:tcW w:type="dxa" w:w="94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Short-lived creds; secrets excluded from context; pre-commit scanning</w:t>
            </w:r>
          </w:p>
        </w:tc>
      </w:tr>
      <w:tr>
        <w:trPr>
          <w:cantSplit/>
        </w:trPr>
        <w:tc>
          <w:tcPr>
            <w:tcW w:type="dxa" w:w="1379"/>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D4</w:t>
            </w:r>
          </w:p>
        </w:tc>
        <w:tc>
          <w:tcPr>
            <w:tcW w:type="dxa" w:w="296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Untrusted-repo handling</w:t>
            </w:r>
          </w:p>
        </w:tc>
        <w:tc>
          <w:tcPr>
            <w:tcW w:type="dxa" w:w="9485"/>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Repo metadata, issues, PR comments and docs treated as untrusted</w:t>
            </w:r>
          </w:p>
        </w:tc>
      </w:tr>
      <w:tr>
        <w:trPr>
          <w:cantSplit/>
        </w:trPr>
        <w:tc>
          <w:tcPr>
            <w:tcW w:type="dxa" w:w="1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D5</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AI-change pipeline gates</w:t>
            </w:r>
          </w:p>
        </w:tc>
        <w:tc>
          <w:tcPr>
            <w:tcW w:type="dxa" w:w="94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Human review, SAST/SCA, dependency allowlist, extra approval for CI/CD, IaC and auth code; label AI commits</w:t>
            </w:r>
          </w:p>
        </w:tc>
      </w:tr>
      <w:tr>
        <w:trPr>
          <w:cantSplit/>
        </w:trPr>
        <w:tc>
          <w:tcPr>
            <w:tcW w:type="dxa" w:w="1379"/>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D6</w:t>
            </w:r>
          </w:p>
        </w:tc>
        <w:tc>
          <w:tcPr>
            <w:tcW w:type="dxa" w:w="296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Security instruction files</w:t>
            </w:r>
          </w:p>
        </w:tc>
        <w:tc>
          <w:tcPr>
            <w:tcW w:type="dxa" w:w="9485"/>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Kiro steering / CLAUDE.md baselines per </w:t>
            </w:r>
            <w:hyperlink w:history="1" r:id="rIdyx4rfucfbyntz6h5s3lsb">
              <w:r>
                <w:rPr>
                  <w:rStyle w:val="Hyperlink"/>
                  <w:rFonts w:ascii="Calibri" w:cs="Calibri" w:eastAsia="Calibri" w:hAnsi="Calibri"/>
                  <w:sz w:val="17"/>
                  <w:szCs w:val="17"/>
                </w:rPr>
                <w:t xml:space="preserve">OpenSSF guide</w:t>
              </w:r>
            </w:hyperlink>
          </w:p>
        </w:tc>
      </w:tr>
      <w:tr>
        <w:trPr>
          <w:cantSplit/>
        </w:trPr>
        <w:tc>
          <w:tcPr>
            <w:tcW w:type="dxa" w:w="137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D7</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Session logging</w:t>
            </w:r>
          </w:p>
        </w:tc>
        <w:tc>
          <w:tcPr>
            <w:tcW w:type="dxa" w:w="94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Agent command/tool telemetry to SIEM</w:t>
            </w:r>
          </w:p>
        </w:tc>
      </w:tr>
    </w:tbl>
    <w:p>
      <w:pPr>
        <w:spacing w:after="60"/>
      </w:pPr>
    </w:p>
    <w:p>
      <w:pPr>
        <w:pStyle w:val="Heading2"/>
      </w:pPr>
      <w:r>
        <w:rPr>
          <w:rFonts w:ascii="Calibri" w:cs="Calibri" w:eastAsia="Calibri" w:hAnsi="Calibri"/>
        </w:rPr>
        <w:t xml:space="preserve">5.3 Agentic AI — internal agents, MCP, multi-agent (A-series)</w:t>
      </w:r>
    </w:p>
    <w:tbl>
      <w:tblPr>
        <w:tblW w:type="dxa" w:w="138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2"/>
        <w:gridCol w:w="2726"/>
        <w:gridCol w:w="8336"/>
        <w:gridCol w:w="1720"/>
      </w:tblGrid>
      <w:tr>
        <w:trPr>
          <w:tblHeader/>
        </w:trPr>
        <w:tc>
          <w:tcPr>
            <w:tcW w:type="dxa" w:w="10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w:t>
            </w:r>
          </w:p>
        </w:tc>
        <w:tc>
          <w:tcPr>
            <w:tcW w:type="dxa" w:w="272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Pattern</w:t>
            </w:r>
          </w:p>
        </w:tc>
        <w:tc>
          <w:tcPr>
            <w:tcW w:type="dxa" w:w="833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Key controls</w:t>
            </w:r>
          </w:p>
        </w:tc>
        <w:tc>
          <w:tcPr>
            <w:tcW w:type="dxa" w:w="172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Source</w:t>
            </w:r>
          </w:p>
        </w:tc>
      </w:tr>
      <w:tr>
        <w:trPr>
          <w:cantSplit/>
        </w:trPr>
        <w:tc>
          <w:tcPr>
            <w:tcW w:type="dxa" w:w="1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A1</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Agent as non-human identity</w:t>
            </w:r>
          </w:p>
        </w:tc>
        <w:tc>
          <w:tcPr>
            <w:tcW w:type="dxa" w:w="83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Unique ID per agent; owner, purpose, expiry (SCIM lifecycle); workload identity (SPIFFE/IAM role); short-lived task-scoped tokens</w:t>
            </w:r>
          </w:p>
        </w:tc>
        <w:tc>
          <w:tcPr>
            <w:tcW w:type="dxa" w:w="17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hyperlink w:history="1" r:id="rId1_bdt9jdddegav1bjcond">
              <w:r>
                <w:rPr>
                  <w:rStyle w:val="Hyperlink"/>
                  <w:rFonts w:ascii="Calibri" w:cs="Calibri" w:eastAsia="Calibri" w:hAnsi="Calibri"/>
                  <w:sz w:val="17"/>
                  <w:szCs w:val="17"/>
                </w:rPr>
                <w:t xml:space="preserve">NCCoE</w:t>
              </w:r>
            </w:hyperlink>
          </w:p>
        </w:tc>
      </w:tr>
      <w:tr>
        <w:trPr>
          <w:cantSplit/>
        </w:trPr>
        <w:tc>
          <w:tcPr>
            <w:tcW w:type="dxa" w:w="104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A2</w:t>
            </w:r>
          </w:p>
        </w:tc>
        <w:tc>
          <w:tcPr>
            <w:tcW w:type="dxa" w:w="2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On-behalf-of delegation</w:t>
            </w:r>
          </w:p>
        </w:tc>
        <w:tc>
          <w:tcPr>
            <w:tcW w:type="dxa" w:w="833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Gateway validates agent token, decides per request (agent + user + resource + context), forwards only scoped OBO credential, never the raw upstream token; immutable decision log; fail-closed for high-capability agents</w:t>
            </w:r>
          </w:p>
        </w:tc>
        <w:tc>
          <w:tcPr>
            <w:tcW w:type="dxa" w:w="172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hyperlink w:history="1" r:id="rId-vmv0jjnnwepgr-4rrojr">
              <w:r>
                <w:rPr>
                  <w:rStyle w:val="Hyperlink"/>
                  <w:rFonts w:ascii="Calibri" w:cs="Calibri" w:eastAsia="Calibri" w:hAnsi="Calibri"/>
                  <w:sz w:val="17"/>
                  <w:szCs w:val="17"/>
                </w:rPr>
                <w:t xml:space="preserve">CoSAI Agentic IAM</w:t>
              </w:r>
            </w:hyperlink>
          </w:p>
        </w:tc>
      </w:tr>
      <w:tr>
        <w:trPr>
          <w:cantSplit/>
        </w:trPr>
        <w:tc>
          <w:tcPr>
            <w:tcW w:type="dxa" w:w="1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A3</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Tool access via MCP gateway</w:t>
            </w:r>
          </w:p>
        </w:tc>
        <w:tc>
          <w:tcPr>
            <w:tcW w:type="dxa" w:w="83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M1–M8</w:t>
            </w:r>
          </w:p>
        </w:tc>
        <w:tc>
          <w:tcPr>
            <w:tcW w:type="dxa" w:w="17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§4</w:t>
            </w:r>
          </w:p>
        </w:tc>
      </w:tr>
      <w:tr>
        <w:trPr>
          <w:cantSplit/>
        </w:trPr>
        <w:tc>
          <w:tcPr>
            <w:tcW w:type="dxa" w:w="104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A4</w:t>
            </w:r>
          </w:p>
        </w:tc>
        <w:tc>
          <w:tcPr>
            <w:tcW w:type="dxa" w:w="2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Lethal trifecta / Agents Rule of Two</w:t>
            </w:r>
          </w:p>
        </w:tc>
        <w:tc>
          <w:tcPr>
            <w:tcW w:type="dxa" w:w="833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In one session an agent may have at most two of: (A) untrusted input, (B) sensitive data/systems, (C) state change or external comms. All three → drop one or add a hard human gate. Tag each tool's capabilities; fail closed if tags are missing</w:t>
            </w:r>
          </w:p>
        </w:tc>
        <w:tc>
          <w:tcPr>
            <w:tcW w:type="dxa" w:w="172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hyperlink w:history="1" r:id="rIdljkpm4os3meotwsu0y0cy">
              <w:r>
                <w:rPr>
                  <w:rStyle w:val="Hyperlink"/>
                  <w:rFonts w:ascii="Calibri" w:cs="Calibri" w:eastAsia="Calibri" w:hAnsi="Calibri"/>
                  <w:sz w:val="17"/>
                  <w:szCs w:val="17"/>
                </w:rPr>
                <w:t xml:space="preserve">Meta</w:t>
              </w:r>
            </w:hyperlink>
            <w:r>
              <w:rPr>
                <w:rFonts w:ascii="Calibri" w:cs="Calibri" w:eastAsia="Calibri" w:hAnsi="Calibri"/>
                <w:sz w:val="17"/>
                <w:szCs w:val="17"/>
              </w:rPr>
              <w:t xml:space="preserve">, </w:t>
            </w:r>
            <w:hyperlink w:history="1" r:id="rIdwihjnvh6gmwtna6528qi9">
              <w:r>
                <w:rPr>
                  <w:rStyle w:val="Hyperlink"/>
                  <w:rFonts w:ascii="Calibri" w:cs="Calibri" w:eastAsia="Calibri" w:hAnsi="Calibri"/>
                  <w:sz w:val="17"/>
                  <w:szCs w:val="17"/>
                </w:rPr>
                <w:t xml:space="preserve">Willison</w:t>
              </w:r>
            </w:hyperlink>
            <w:r>
              <w:rPr>
                <w:rFonts w:ascii="Calibri" w:cs="Calibri" w:eastAsia="Calibri" w:hAnsi="Calibri"/>
                <w:sz w:val="17"/>
                <w:szCs w:val="17"/>
              </w:rPr>
              <w:t xml:space="preserve">, </w:t>
            </w:r>
            <w:hyperlink w:history="1" r:id="rIdxatugwp-ynklzrcb5acwo">
              <w:r>
                <w:rPr>
                  <w:rStyle w:val="Hyperlink"/>
                  <w:rFonts w:ascii="Calibri" w:cs="Calibri" w:eastAsia="Calibri" w:hAnsi="Calibri"/>
                  <w:sz w:val="17"/>
                  <w:szCs w:val="17"/>
                </w:rPr>
                <w:t xml:space="preserve">Oso enforcement</w:t>
              </w:r>
            </w:hyperlink>
          </w:p>
        </w:tc>
      </w:tr>
      <w:tr>
        <w:trPr>
          <w:cantSplit/>
        </w:trPr>
        <w:tc>
          <w:tcPr>
            <w:tcW w:type="dxa" w:w="1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A5</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Graduated autonomy by AWS scope</w:t>
            </w:r>
          </w:p>
        </w:tc>
        <w:tc>
          <w:tcPr>
            <w:tcW w:type="dxa" w:w="83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Record scope 1–4 per agent in the AI inventory; controls tighten by scope; HITL where it matters (approval fatigue is a real failure mode)</w:t>
            </w:r>
          </w:p>
        </w:tc>
        <w:tc>
          <w:tcPr>
            <w:tcW w:type="dxa" w:w="17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hyperlink w:history="1" r:id="rIdhprs6zbmkfyz6xqd_nqzf">
              <w:r>
                <w:rPr>
                  <w:rStyle w:val="Hyperlink"/>
                  <w:rFonts w:ascii="Calibri" w:cs="Calibri" w:eastAsia="Calibri" w:hAnsi="Calibri"/>
                  <w:sz w:val="17"/>
                  <w:szCs w:val="17"/>
                </w:rPr>
                <w:t xml:space="preserve">AWS</w:t>
              </w:r>
            </w:hyperlink>
          </w:p>
        </w:tc>
      </w:tr>
      <w:tr>
        <w:trPr>
          <w:cantSplit/>
        </w:trPr>
        <w:tc>
          <w:tcPr>
            <w:tcW w:type="dxa" w:w="104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A6</w:t>
            </w:r>
          </w:p>
        </w:tc>
        <w:tc>
          <w:tcPr>
            <w:tcW w:type="dxa" w:w="2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Memory &amp; context integrity</w:t>
            </w:r>
          </w:p>
        </w:tc>
        <w:tc>
          <w:tcPr>
            <w:tcW w:type="dxa" w:w="833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Validated memory writes; per-user isolation; ephemeral context for untrusted sessions (ASI06, MCP10)</w:t>
            </w:r>
          </w:p>
        </w:tc>
        <w:tc>
          <w:tcPr>
            <w:tcW w:type="dxa" w:w="172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hyperlink w:history="1" r:id="rIdbxkxearft7splgyput0ri">
              <w:r>
                <w:rPr>
                  <w:rStyle w:val="Hyperlink"/>
                  <w:rFonts w:ascii="Calibri" w:cs="Calibri" w:eastAsia="Calibri" w:hAnsi="Calibri"/>
                  <w:sz w:val="17"/>
                  <w:szCs w:val="17"/>
                </w:rPr>
                <w:t xml:space="preserve">SAIF agents</w:t>
              </w:r>
            </w:hyperlink>
          </w:p>
        </w:tc>
      </w:tr>
      <w:tr>
        <w:trPr>
          <w:cantSplit/>
        </w:trPr>
        <w:tc>
          <w:tcPr>
            <w:tcW w:type="dxa" w:w="1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A7</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Inter-agent (A2A) security</w:t>
            </w:r>
          </w:p>
        </w:tc>
        <w:tc>
          <w:tcPr>
            <w:tcW w:type="dxa" w:w="83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Mutual auth between agents, signed agent cards, authZ per task, no transitive trust (ASI07)</w:t>
            </w:r>
          </w:p>
        </w:tc>
        <w:tc>
          <w:tcPr>
            <w:tcW w:type="dxa" w:w="17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hyperlink w:history="1" r:id="rIdol33qo7eio27by71qpjt9">
              <w:r>
                <w:rPr>
                  <w:rStyle w:val="Hyperlink"/>
                  <w:rFonts w:ascii="Calibri" w:cs="Calibri" w:eastAsia="Calibri" w:hAnsi="Calibri"/>
                  <w:sz w:val="17"/>
                  <w:szCs w:val="17"/>
                </w:rPr>
                <w:t xml:space="preserve">A2A spec</w:t>
              </w:r>
            </w:hyperlink>
            <w:r>
              <w:rPr>
                <w:rFonts w:ascii="Calibri" w:cs="Calibri" w:eastAsia="Calibri" w:hAnsi="Calibri"/>
                <w:sz w:val="17"/>
                <w:szCs w:val="17"/>
              </w:rPr>
              <w:t xml:space="preserve">, </w:t>
            </w:r>
            <w:hyperlink w:history="1" r:id="rId8vnugo16itwg9cfnped40">
              <w:r>
                <w:rPr>
                  <w:rStyle w:val="Hyperlink"/>
                  <w:rFonts w:ascii="Calibri" w:cs="Calibri" w:eastAsia="Calibri" w:hAnsi="Calibri"/>
                  <w:sz w:val="17"/>
                  <w:szCs w:val="17"/>
                </w:rPr>
                <w:t xml:space="preserve">Palo Alto A2A risks</w:t>
              </w:r>
            </w:hyperlink>
          </w:p>
        </w:tc>
      </w:tr>
      <w:tr>
        <w:trPr>
          <w:cantSplit/>
        </w:trPr>
        <w:tc>
          <w:tcPr>
            <w:tcW w:type="dxa" w:w="104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A8</w:t>
            </w:r>
          </w:p>
        </w:tc>
        <w:tc>
          <w:tcPr>
            <w:tcW w:type="dxa" w:w="272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Policy outside the agent</w:t>
            </w:r>
          </w:p>
        </w:tc>
        <w:tc>
          <w:tcPr>
            <w:tcW w:type="dxa" w:w="833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Deterministic policy engine at the gateway (e.g., Cedar in AgentCore Policy) instead of relying on the system prompt</w:t>
            </w:r>
          </w:p>
        </w:tc>
        <w:tc>
          <w:tcPr>
            <w:tcW w:type="dxa" w:w="1720"/>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hyperlink w:history="1" r:id="rId6pf7fwtxdz-zaleyi9gts">
              <w:r>
                <w:rPr>
                  <w:rStyle w:val="Hyperlink"/>
                  <w:rFonts w:ascii="Calibri" w:cs="Calibri" w:eastAsia="Calibri" w:hAnsi="Calibri"/>
                  <w:sz w:val="17"/>
                  <w:szCs w:val="17"/>
                </w:rPr>
                <w:t xml:space="preserve">AgentCore Policy</w:t>
              </w:r>
            </w:hyperlink>
          </w:p>
        </w:tc>
      </w:tr>
      <w:tr>
        <w:trPr>
          <w:cantSplit/>
        </w:trPr>
        <w:tc>
          <w:tcPr>
            <w:tcW w:type="dxa" w:w="10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A9</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Observability &amp; kill switch</w:t>
            </w:r>
          </w:p>
        </w:tc>
        <w:tc>
          <w:tcPr>
            <w:tcW w:type="dxa" w:w="833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Trace every tool call with identity; behavioral baselining; per-agent kill switch. SALT AG-DR = detection, gateway = enforcement</w:t>
            </w:r>
          </w:p>
        </w:tc>
        <w:tc>
          <w:tcPr>
            <w:tcW w:type="dxa" w:w="17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Extended Topics §6</w:t>
            </w:r>
          </w:p>
        </w:tc>
      </w:tr>
    </w:tbl>
    <w:p>
      <w:pPr>
        <w:spacing w:after="60"/>
      </w:pPr>
    </w:p>
    <w:p>
      <w:pPr>
        <w:pStyle w:val="Heading2"/>
      </w:pPr>
      <w:r>
        <w:rPr>
          <w:rFonts w:ascii="Calibri" w:cs="Calibri" w:eastAsia="Calibri" w:hAnsi="Calibri"/>
        </w:rPr>
        <w:t xml:space="preserve">5.4 GenAI apps — Bedrock-based apps, customer-facing chatbot</w:t>
      </w:r>
    </w:p>
    <w:p>
      <w:pPr>
        <w:spacing w:after="120"/>
      </w:pPr>
      <w:r>
        <w:rPr>
          <w:rFonts w:ascii="Calibri" w:cs="Calibri" w:eastAsia="Calibri" w:hAnsi="Calibri"/>
        </w:rPr>
        <w:t xml:space="preserve">Scope: GenAI S3 (S4 if fine-tuned).</w:t>
      </w:r>
    </w:p>
    <w:tbl>
      <w:tblPr>
        <w:tblW w:type="dxa" w:w="138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2"/>
        <w:gridCol w:w="3151"/>
        <w:gridCol w:w="9211"/>
      </w:tblGrid>
      <w:tr>
        <w:trPr>
          <w:tblHeader/>
        </w:trPr>
        <w:tc>
          <w:tcPr>
            <w:tcW w:type="dxa" w:w="146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w:t>
            </w:r>
          </w:p>
        </w:tc>
        <w:tc>
          <w:tcPr>
            <w:tcW w:type="dxa" w:w="315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Pattern</w:t>
            </w:r>
          </w:p>
        </w:tc>
        <w:tc>
          <w:tcPr>
            <w:tcW w:type="dxa" w:w="921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Key controls</w:t>
            </w:r>
          </w:p>
        </w:tc>
      </w:tr>
      <w:tr>
        <w:trPr>
          <w:cantSplit/>
        </w:trPr>
        <w:tc>
          <w:tcPr>
            <w:tcW w:type="dxa" w:w="14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G1</w:t>
            </w:r>
          </w:p>
        </w:tc>
        <w:tc>
          <w:tcPr>
            <w:tcW w:type="dxa" w:w="31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Gateway-fronted model access</w:t>
            </w:r>
          </w:p>
        </w:tc>
        <w:tc>
          <w:tcPr>
            <w:tcW w:type="dxa" w:w="92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Catalog §1.1; Bedrock via VPC endpoints; per-app keys and model allowlist</w:t>
            </w:r>
          </w:p>
        </w:tc>
      </w:tr>
      <w:tr>
        <w:trPr>
          <w:cantSplit/>
        </w:trPr>
        <w:tc>
          <w:tcPr>
            <w:tcW w:type="dxa" w:w="146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G2</w:t>
            </w:r>
          </w:p>
        </w:tc>
        <w:tc>
          <w:tcPr>
            <w:tcW w:type="dxa" w:w="315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Layered guardrails</w:t>
            </w:r>
          </w:p>
        </w:tc>
        <w:tc>
          <w:tcPr>
            <w:tcW w:type="dxa" w:w="921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Bedrock Guardrails or gateway guardrails + specialist detector; grounding check; PII redaction</w:t>
            </w:r>
          </w:p>
        </w:tc>
      </w:tr>
      <w:tr>
        <w:trPr>
          <w:cantSplit/>
        </w:trPr>
        <w:tc>
          <w:tcPr>
            <w:tcW w:type="dxa" w:w="14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G3</w:t>
            </w:r>
          </w:p>
        </w:tc>
        <w:tc>
          <w:tcPr>
            <w:tcW w:type="dxa" w:w="31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Permission-aware RAG</w:t>
            </w:r>
          </w:p>
        </w:tc>
        <w:tc>
          <w:tcPr>
            <w:tcW w:type="dxa" w:w="92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Filtering in the vector query; per-tenant indexes (</w:t>
            </w:r>
            <w:hyperlink w:history="1" r:id="rIdgbuc_gghzkvnndnmaons7">
              <w:r>
                <w:rPr>
                  <w:rStyle w:val="Hyperlink"/>
                  <w:rFonts w:ascii="Calibri" w:cs="Calibri" w:eastAsia="Calibri" w:hAnsi="Calibri"/>
                  <w:sz w:val="17"/>
                  <w:szCs w:val="17"/>
                </w:rPr>
                <w:t xml:space="preserve">AWS Scope 3 guidance</w:t>
              </w:r>
            </w:hyperlink>
            <w:r>
              <w:rPr>
                <w:rFonts w:ascii="Calibri" w:cs="Calibri" w:eastAsia="Calibri" w:hAnsi="Calibri"/>
                <w:sz w:val="17"/>
                <w:szCs w:val="17"/>
              </w:rPr>
              <w:t xml:space="preserve">)</w:t>
            </w:r>
          </w:p>
        </w:tc>
      </w:tr>
      <w:tr>
        <w:trPr>
          <w:cantSplit/>
        </w:trPr>
        <w:tc>
          <w:tcPr>
            <w:tcW w:type="dxa" w:w="146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G4</w:t>
            </w:r>
          </w:p>
        </w:tc>
        <w:tc>
          <w:tcPr>
            <w:tcW w:type="dxa" w:w="315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Answer-only vs. action-capable</w:t>
            </w:r>
          </w:p>
        </w:tc>
        <w:tc>
          <w:tcPr>
            <w:tcW w:type="dxa" w:w="921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Chatbot that can act → apply A-series + forced confirmation on account/financial actions (ASI09)</w:t>
            </w:r>
          </w:p>
        </w:tc>
      </w:tr>
      <w:tr>
        <w:trPr>
          <w:cantSplit/>
        </w:trPr>
        <w:tc>
          <w:tcPr>
            <w:tcW w:type="dxa" w:w="146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G5</w:t>
            </w:r>
          </w:p>
        </w:tc>
        <w:tc>
          <w:tcPr>
            <w:tcW w:type="dxa" w:w="315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Model supply chain</w:t>
            </w:r>
          </w:p>
        </w:tc>
        <w:tc>
          <w:tcPr>
            <w:tcW w:type="dxa" w:w="921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Pinned versions, AI-BOM</w:t>
            </w:r>
          </w:p>
        </w:tc>
      </w:tr>
      <w:tr>
        <w:trPr>
          <w:cantSplit/>
        </w:trPr>
        <w:tc>
          <w:tcPr>
            <w:tcW w:type="dxa" w:w="146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G6</w:t>
            </w:r>
          </w:p>
        </w:tc>
        <w:tc>
          <w:tcPr>
            <w:tcW w:type="dxa" w:w="315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Recurring red team</w:t>
            </w:r>
          </w:p>
        </w:tc>
        <w:tc>
          <w:tcPr>
            <w:tcW w:type="dxa" w:w="9211"/>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ATLAS-mapped; rerun on any model/prompt/tool change (note: model-vulnerability work itself is out of scope per 09/15)</w:t>
            </w:r>
          </w:p>
        </w:tc>
      </w:tr>
    </w:tbl>
    <w:p>
      <w:pPr>
        <w:spacing w:after="60"/>
      </w:pPr>
    </w:p>
    <w:p>
      <w:pPr>
        <w:pStyle w:val="Heading2"/>
      </w:pPr>
      <w:r>
        <w:rPr>
          <w:rFonts w:ascii="Calibri" w:cs="Calibri" w:eastAsia="Calibri" w:hAnsi="Calibri"/>
        </w:rPr>
        <w:t xml:space="preserve">5.5 SaaS-embedded AI — Tableau, Salesforce (and Workday if that's what Ben meant)</w:t>
      </w:r>
    </w:p>
    <w:p>
      <w:pPr>
        <w:spacing w:after="120"/>
      </w:pPr>
      <w:r>
        <w:rPr>
          <w:rFonts w:ascii="Calibri" w:cs="Calibri" w:eastAsia="Calibri" w:hAnsi="Calibri"/>
        </w:rPr>
        <w:t xml:space="preserve">Scope: GenAI S2; controls are mostly contract and configuration. Existing SaaS can gain AI features silently (</w:t>
      </w:r>
      <w:hyperlink w:history="1" r:id="rId8gh2doacf4zzqvhehq-ae">
        <w:r>
          <w:rPr>
            <w:rStyle w:val="Hyperlink"/>
            <w:rFonts w:ascii="Calibri" w:cs="Calibri" w:eastAsia="Calibri" w:hAnsi="Calibri"/>
          </w:rPr>
          <w:t xml:space="preserve">AWS</w:t>
        </w:r>
      </w:hyperlink>
      <w:r>
        <w:rPr>
          <w:rFonts w:ascii="Calibri" w:cs="Calibri" w:eastAsia="Calibri" w:hAnsi="Calibri"/>
        </w:rPr>
        <w:t xml:space="preserve">).</w:t>
      </w:r>
    </w:p>
    <w:tbl>
      <w:tblPr>
        <w:tblW w:type="dxa" w:w="138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3"/>
        <w:gridCol w:w="3523"/>
        <w:gridCol w:w="8688"/>
      </w:tblGrid>
      <w:tr>
        <w:trPr>
          <w:tblHeader/>
        </w:trPr>
        <w:tc>
          <w:tcPr>
            <w:tcW w:type="dxa" w:w="16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w:t>
            </w:r>
          </w:p>
        </w:tc>
        <w:tc>
          <w:tcPr>
            <w:tcW w:type="dxa" w:w="352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Pattern</w:t>
            </w:r>
          </w:p>
        </w:tc>
        <w:tc>
          <w:tcPr>
            <w:tcW w:type="dxa" w:w="868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Key controls</w:t>
            </w:r>
          </w:p>
        </w:tc>
      </w:tr>
      <w:tr>
        <w:trPr>
          <w:cantSplit/>
        </w:trPr>
        <w:tc>
          <w:tcPr>
            <w:tcW w:type="dxa" w:w="16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S1</w:t>
            </w:r>
          </w:p>
        </w:tc>
        <w:tc>
          <w:tcPr>
            <w:tcW w:type="dxa" w:w="35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AI feature intake review</w:t>
            </w:r>
          </w:p>
        </w:tc>
        <w:tc>
          <w:tcPr>
            <w:tcW w:type="dxa" w:w="86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Any AI feature toggle → quick review (LLM provider, retention, region) before enabling</w:t>
            </w:r>
          </w:p>
        </w:tc>
      </w:tr>
      <w:tr>
        <w:trPr>
          <w:cantSplit/>
        </w:trPr>
        <w:tc>
          <w:tcPr>
            <w:tcW w:type="dxa" w:w="1613"/>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S2</w:t>
            </w:r>
          </w:p>
        </w:tc>
        <w:tc>
          <w:tcPr>
            <w:tcW w:type="dxa" w:w="3523"/>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Trust-layer verification</w:t>
            </w:r>
          </w:p>
        </w:tc>
        <w:tc>
          <w:tcPr>
            <w:tcW w:type="dxa" w:w="868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Tableau Server bypasses the Einstein Trust Layer (Extended Topics §3). Confirm deployment model</w:t>
            </w:r>
          </w:p>
        </w:tc>
      </w:tr>
      <w:tr>
        <w:trPr>
          <w:cantSplit/>
        </w:trPr>
        <w:tc>
          <w:tcPr>
            <w:tcW w:type="dxa" w:w="161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S3</w:t>
            </w:r>
          </w:p>
        </w:tc>
        <w:tc>
          <w:tcPr>
            <w:tcW w:type="dxa" w:w="352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Embedded agent permissions</w:t>
            </w:r>
          </w:p>
        </w:tc>
        <w:tc>
          <w:tcPr>
            <w:tcW w:type="dxa" w:w="868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Scoped integration users; SSPM drift monitoring</w:t>
            </w:r>
          </w:p>
        </w:tc>
      </w:tr>
      <w:tr>
        <w:trPr>
          <w:cantSplit/>
        </w:trPr>
        <w:tc>
          <w:tcPr>
            <w:tcW w:type="dxa" w:w="1613"/>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S4</w:t>
            </w:r>
          </w:p>
        </w:tc>
        <w:tc>
          <w:tcPr>
            <w:tcW w:type="dxa" w:w="3523"/>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Vendor due diligence</w:t>
            </w:r>
          </w:p>
        </w:tc>
        <w:tc>
          <w:tcPr>
            <w:tcW w:type="dxa" w:w="868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CSA AI-CAIQ / SAIF questionnaire; add to AI inventory</w:t>
            </w:r>
          </w:p>
        </w:tc>
      </w:tr>
    </w:tbl>
    <w:p>
      <w:pPr>
        <w:spacing w:after="60"/>
      </w:pPr>
    </w:p>
    <w:p>
      <w:pPr>
        <w:pStyle w:val="Heading1"/>
      </w:pPr>
      <w:r>
        <w:rPr>
          <w:rFonts w:ascii="Calibri" w:cs="Calibri" w:eastAsia="Calibri" w:hAnsi="Calibri"/>
        </w:rPr>
        <w:t xml:space="preserve">6. Discovery vs. enforcement: SALT, Guardium, gateways</w:t>
      </w:r>
    </w:p>
    <w:tbl>
      <w:tblPr>
        <w:tblW w:type="dxa" w:w="138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8"/>
        <w:gridCol w:w="4392"/>
        <w:gridCol w:w="4986"/>
        <w:gridCol w:w="1708"/>
      </w:tblGrid>
      <w:tr>
        <w:trPr>
          <w:tblHeader/>
        </w:trPr>
        <w:tc>
          <w:tcPr>
            <w:tcW w:type="dxa" w:w="27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Layer</w:t>
            </w:r>
          </w:p>
        </w:tc>
        <w:tc>
          <w:tcPr>
            <w:tcW w:type="dxa" w:w="439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Tool</w:t>
            </w:r>
          </w:p>
        </w:tc>
        <w:tc>
          <w:tcPr>
            <w:tcW w:type="dxa" w:w="498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Role</w:t>
            </w:r>
          </w:p>
        </w:tc>
        <w:tc>
          <w:tcPr>
            <w:tcW w:type="dxa" w:w="170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0" w:before="0"/>
            </w:pPr>
            <w:r>
              <w:rPr>
                <w:rFonts w:ascii="Calibri" w:cs="Calibri" w:eastAsia="Calibri" w:hAnsi="Calibri"/>
                <w:b/>
                <w:bCs/>
                <w:color w:val="FFFFFF"/>
                <w:sz w:val="18"/>
                <w:szCs w:val="18"/>
              </w:rPr>
              <w:t xml:space="preserve">Deliverable</w:t>
            </w:r>
          </w:p>
        </w:tc>
      </w:tr>
      <w:tr>
        <w:trPr>
          <w:cantSplit/>
        </w:trPr>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API/agent/MCP discovery &amp; detection</w:t>
            </w:r>
          </w:p>
        </w:tc>
        <w:tc>
          <w:tcPr>
            <w:tcW w:type="dxa" w:w="43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SALT (AG-SPM, AG-DR, MCP Protect)</w:t>
            </w:r>
          </w:p>
        </w:tc>
        <w:tc>
          <w:tcPr>
            <w:tcW w:type="dxa" w:w="4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Find shadow MCP servers and east-west agent→API traffic; detect abuse</w:t>
            </w:r>
          </w:p>
        </w:tc>
        <w:tc>
          <w:tcPr>
            <w:tcW w:type="dxa" w:w="17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D7</w:t>
            </w:r>
          </w:p>
        </w:tc>
      </w:tr>
      <w:tr>
        <w:trPr>
          <w:cantSplit/>
        </w:trPr>
        <w:tc>
          <w:tcPr>
            <w:tcW w:type="dxa" w:w="273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Data/activity monitoring</w:t>
            </w:r>
          </w:p>
        </w:tc>
        <w:tc>
          <w:tcPr>
            <w:tcW w:type="dxa" w:w="4392"/>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IBM Guardium AI Security (agentic monitoring)</w:t>
            </w:r>
          </w:p>
        </w:tc>
        <w:tc>
          <w:tcPr>
            <w:tcW w:type="dxa" w:w="4986"/>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Prompt → agent action → data access audit trail</w:t>
            </w:r>
          </w:p>
        </w:tc>
        <w:tc>
          <w:tcPr>
            <w:tcW w:type="dxa" w:w="1708"/>
            <w:tcBorders>
              <w:top w:val="single" w:color="BFBFBF" w:sz="4"/>
              <w:left w:val="single" w:color="BFBFBF" w:sz="4"/>
              <w:bottom w:val="single" w:color="BFBFBF" w:sz="4"/>
              <w:right w:val="single" w:color="BFBFBF" w:sz="4"/>
            </w:tcBorders>
            <w:shd w:fill="F2F5FA" w:color="auto" w:val="clear"/>
            <w:tcMar>
              <w:top w:type="dxa" w:w="60"/>
              <w:left w:type="dxa" w:w="90"/>
              <w:bottom w:type="dxa" w:w="60"/>
              <w:right w:type="dxa" w:w="90"/>
            </w:tcMar>
          </w:tcPr>
          <w:p>
            <w:pPr>
              <w:spacing w:after="0" w:before="0"/>
            </w:pPr>
            <w:r>
              <w:rPr>
                <w:rFonts w:ascii="Calibri" w:cs="Calibri" w:eastAsia="Calibri" w:hAnsi="Calibri"/>
                <w:sz w:val="17"/>
                <w:szCs w:val="17"/>
              </w:rPr>
              <w:t xml:space="preserve">D6 lightweight review</w:t>
            </w:r>
          </w:p>
        </w:tc>
      </w:tr>
      <w:tr>
        <w:trPr>
          <w:cantSplit/>
        </w:trPr>
        <w:tc>
          <w:tcPr>
            <w:tcW w:type="dxa" w:w="27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Inline enforcement</w:t>
            </w:r>
          </w:p>
        </w:tc>
        <w:tc>
          <w:tcPr>
            <w:tcW w:type="dxa" w:w="439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AI gateway + MCP gateway (vendor TBD; AgentCore as AWS baseline)</w:t>
            </w:r>
          </w:p>
        </w:tc>
        <w:tc>
          <w:tcPr>
            <w:tcW w:type="dxa" w:w="4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Block, redact, authorize, rate-limit, kill switch</w:t>
            </w:r>
          </w:p>
        </w:tc>
        <w:tc>
          <w:tcPr>
            <w:tcW w:type="dxa" w:w="17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before="0"/>
            </w:pPr>
            <w:r>
              <w:rPr>
                <w:rFonts w:ascii="Calibri" w:cs="Calibri" w:eastAsia="Calibri" w:hAnsi="Calibri"/>
                <w:sz w:val="17"/>
                <w:szCs w:val="17"/>
              </w:rPr>
              <w:t xml:space="preserve">D6/D8/D9</w:t>
            </w:r>
          </w:p>
        </w:tc>
      </w:tr>
    </w:tbl>
    <w:p>
      <w:pPr>
        <w:spacing w:after="60"/>
      </w:pPr>
    </w:p>
    <w:p>
      <w:pPr>
        <w:spacing w:after="120"/>
      </w:pPr>
      <w:r>
        <w:rPr>
          <w:rFonts w:ascii="Calibri" w:cs="Calibri" w:eastAsia="Calibri" w:hAnsi="Calibri"/>
        </w:rPr>
        <w:t xml:space="preserve">Framing to keep: </w:t>
      </w:r>
      <w:r>
        <w:rPr>
          <w:rFonts w:ascii="Calibri" w:cs="Calibri" w:eastAsia="Calibri" w:hAnsi="Calibri"/>
          <w:b/>
          <w:bCs/>
        </w:rPr>
        <w:t xml:space="preserve">SALT/Guardium see; gateways stop.</w:t>
      </w:r>
      <w:r>
        <w:rPr>
          <w:rFonts w:ascii="Calibri" w:cs="Calibri" w:eastAsia="Calibri" w:hAnsi="Calibri"/>
        </w:rPr>
        <w:t xml:space="preserve"> The gap analysis should check whether the detection tools can </w:t>
      </w:r>
      <w:r>
        <w:rPr>
          <w:rFonts w:ascii="Calibri" w:cs="Calibri" w:eastAsia="Calibri" w:hAnsi="Calibri"/>
          <w:i/>
          <w:iCs/>
        </w:rPr>
        <w:t xml:space="preserve">trigger</w:t>
      </w:r>
      <w:r>
        <w:rPr>
          <w:rFonts w:ascii="Calibri" w:cs="Calibri" w:eastAsia="Calibri" w:hAnsi="Calibri"/>
        </w:rPr>
        <w:t xml:space="preserve"> the gateway kill switch (A9/M8).</w:t>
      </w:r>
    </w:p>
    <w:p>
      <w:pPr>
        <w:pStyle w:val="Heading1"/>
      </w:pPr>
      <w:r>
        <w:rPr>
          <w:rFonts w:ascii="Calibri" w:cs="Calibri" w:eastAsia="Calibri" w:hAnsi="Calibri"/>
        </w:rPr>
        <w:t xml:space="preserve">7. D2 recommendation — 4 patterns (per 09/15) + reserve</w:t>
      </w:r>
    </w:p>
    <w:p>
      <w:pPr>
        <w:spacing w:after="120"/>
      </w:pPr>
      <w:r>
        <w:rPr>
          <w:rFonts w:ascii="Calibri" w:cs="Calibri" w:eastAsia="Calibri" w:hAnsi="Calibri"/>
        </w:rPr>
        <w:t xml:space="preserve">Pick the 4 that are TMCC-specific, closest to the SOW's MCP/agentic emphasis, and least likely to overlap with Mandiant's generic cloud patterns:</w:t>
      </w:r>
    </w:p>
    <w:p>
      <w:pPr>
        <w:pStyle w:val="ListParagraph"/>
        <w:numPr>
          <w:ilvl w:val="0"/>
          <w:numId w:val="3"/>
        </w:numPr>
        <w:spacing w:after="60"/>
      </w:pPr>
      <w:r>
        <w:rPr>
          <w:rFonts w:ascii="Calibri" w:cs="Calibri" w:eastAsia="Calibri" w:hAnsi="Calibri"/>
          <w:b/>
          <w:bCs/>
        </w:rPr>
        <w:t xml:space="preserve">MCP gateway &amp; tool registry</w:t>
      </w:r>
      <w:r>
        <w:rPr>
          <w:rFonts w:ascii="Calibri" w:cs="Calibri" w:eastAsia="Calibri" w:hAnsi="Calibri"/>
        </w:rPr>
        <w:t xml:space="preserve"> (M1–M8), the main from-scratch area and directly linked to D6</w:t>
      </w:r>
    </w:p>
    <w:p>
      <w:pPr>
        <w:pStyle w:val="ListParagraph"/>
        <w:numPr>
          <w:ilvl w:val="0"/>
          <w:numId w:val="3"/>
        </w:numPr>
        <w:spacing w:after="60"/>
      </w:pPr>
      <w:r>
        <w:rPr>
          <w:rFonts w:ascii="Calibri" w:cs="Calibri" w:eastAsia="Calibri" w:hAnsi="Calibri"/>
          <w:b/>
          <w:bCs/>
        </w:rPr>
        <w:t xml:space="preserve">Agent identity &amp; on-behalf-of delegation</w:t>
      </w:r>
      <w:r>
        <w:rPr>
          <w:rFonts w:ascii="Calibri" w:cs="Calibri" w:eastAsia="Calibri" w:hAnsi="Calibri"/>
        </w:rPr>
        <w:t xml:space="preserve"> (A1, A2, A8), co-designed with the Agentic IAM workstream (Sarthak Patel)</w:t>
      </w:r>
    </w:p>
    <w:p>
      <w:pPr>
        <w:pStyle w:val="ListParagraph"/>
        <w:numPr>
          <w:ilvl w:val="0"/>
          <w:numId w:val="3"/>
        </w:numPr>
        <w:spacing w:after="60"/>
      </w:pPr>
      <w:r>
        <w:rPr>
          <w:rFonts w:ascii="Calibri" w:cs="Calibri" w:eastAsia="Calibri" w:hAnsi="Calibri"/>
          <w:b/>
          <w:bCs/>
        </w:rPr>
        <w:t xml:space="preserve">Developer AI / Kiro ADE security</w:t>
      </w:r>
      <w:r>
        <w:rPr>
          <w:rFonts w:ascii="Calibri" w:cs="Calibri" w:eastAsia="Calibri" w:hAnsi="Calibri"/>
        </w:rPr>
        <w:t xml:space="preserve"> (D1–D7), TMCC-specific with a real CVE as evidence</w:t>
      </w:r>
    </w:p>
    <w:p>
      <w:pPr>
        <w:pStyle w:val="ListParagraph"/>
        <w:numPr>
          <w:ilvl w:val="0"/>
          <w:numId w:val="3"/>
        </w:numPr>
        <w:spacing w:after="60"/>
      </w:pPr>
      <w:r>
        <w:rPr>
          <w:rFonts w:ascii="Calibri" w:cs="Calibri" w:eastAsia="Calibri" w:hAnsi="Calibri"/>
          <w:b/>
          <w:bCs/>
        </w:rPr>
        <w:t xml:space="preserve">Enterprise LLM access via AI gateway + Bedrock</w:t>
      </w:r>
      <w:r>
        <w:rPr>
          <w:rFonts w:ascii="Calibri" w:cs="Calibri" w:eastAsia="Calibri" w:hAnsi="Calibri"/>
        </w:rPr>
        <w:t xml:space="preserve"> (G1–G4), including the chatbot answer-only vs. action-capable split</w:t>
      </w:r>
    </w:p>
    <w:p>
      <w:pPr>
        <w:spacing w:after="120"/>
      </w:pPr>
      <w:r>
        <w:rPr>
          <w:rFonts w:ascii="Calibri" w:cs="Calibri" w:eastAsia="Calibri" w:hAnsi="Calibri"/>
          <w:b/>
          <w:bCs/>
        </w:rPr>
        <w:t xml:space="preserve">Reserve / likely covered by Mandiant or TMCC drafts:</w:t>
      </w:r>
      <w:r>
        <w:rPr>
          <w:rFonts w:ascii="Calibri" w:cs="Calibri" w:eastAsia="Calibri" w:hAnsi="Calibri"/>
        </w:rPr>
        <w:t xml:space="preserve"> permission-aware RAG / internal assistants (W4/G3), workforce AI usage control (W1–W3), SaaS-embedded AI intake (S1–S4). Once Mandiant's 3–4 drafts land (late Sept), swap in anything they don't cover.</w:t>
      </w:r>
    </w:p>
    <w:p>
      <w:pPr>
        <w:pStyle w:val="Heading1"/>
      </w:pPr>
      <w:r>
        <w:rPr>
          <w:rFonts w:ascii="Calibri" w:cs="Calibri" w:eastAsia="Calibri" w:hAnsi="Calibri"/>
        </w:rPr>
        <w:t xml:space="preserve">8. Governance question sets per category (kickoff ask) and open questions</w:t>
      </w:r>
    </w:p>
    <w:p>
      <w:pPr>
        <w:spacing w:after="120"/>
      </w:pPr>
      <w:r>
        <w:rPr>
          <w:rFonts w:ascii="Calibri" w:cs="Calibri" w:eastAsia="Calibri" w:hAnsi="Calibri"/>
          <w:b/>
          <w:bCs/>
        </w:rPr>
        <w:t xml:space="preserve">Workforce:</w:t>
      </w:r>
      <w:r>
        <w:rPr>
          <w:rFonts w:ascii="Calibri" w:cs="Calibri" w:eastAsia="Calibri" w:hAnsi="Calibri"/>
        </w:rPr>
        <w:t xml:space="preserve"> Which assistants are sanctioned, and how is personal-account use blocked? Is data labeled so DLP can act? Who approves connectors/MCP? What are each vendor's retention/training terms? Has the Q Business ACL Analyzer been run?</w:t>
      </w:r>
    </w:p>
    <w:p>
      <w:pPr>
        <w:spacing w:after="120"/>
      </w:pPr>
      <w:r>
        <w:rPr>
          <w:rFonts w:ascii="Calibri" w:cs="Calibri" w:eastAsia="Calibri" w:hAnsi="Calibri"/>
          <w:b/>
          <w:bCs/>
        </w:rPr>
        <w:t xml:space="preserve">Developer:</w:t>
      </w:r>
      <w:r>
        <w:rPr>
          <w:rFonts w:ascii="Calibri" w:cs="Calibri" w:eastAsia="Calibri" w:hAnsi="Calibri"/>
        </w:rPr>
        <w:t xml:space="preserve"> Which AI IDEs, versions and autonomy modes are approved (Kiro Autopilot?) and who can change them? Which credentials can the agent reach? Are AI-authored changes labeled and gated? Is agent activity logged? Which MCP servers can developers install locally?</w:t>
      </w:r>
    </w:p>
    <w:p>
      <w:pPr>
        <w:spacing w:after="120"/>
      </w:pPr>
      <w:r>
        <w:rPr>
          <w:rFonts w:ascii="Calibri" w:cs="Calibri" w:eastAsia="Calibri" w:hAnsi="Calibri"/>
          <w:b/>
          <w:bCs/>
        </w:rPr>
        <w:t xml:space="preserve">Agentic:</w:t>
      </w:r>
      <w:r>
        <w:rPr>
          <w:rFonts w:ascii="Calibri" w:cs="Calibri" w:eastAsia="Calibri" w:hAnsi="Calibri"/>
        </w:rPr>
        <w:t xml:space="preserve"> Who owns each agent, and when does its identity expire? Does it act as itself or on behalf of a user? Which tools/MCP servers can it use, and who approved them? Does any agent have all three trifecta legs? What happens when the gateway is down? Can one agent be disabled on its own?</w:t>
      </w:r>
    </w:p>
    <w:p>
      <w:pPr>
        <w:spacing w:after="120"/>
      </w:pPr>
      <w:r>
        <w:rPr>
          <w:rFonts w:ascii="Calibri" w:cs="Calibri" w:eastAsia="Calibri" w:hAnsi="Calibri"/>
          <w:b/>
          <w:bCs/>
        </w:rPr>
        <w:t xml:space="preserve">GenAI apps:</w:t>
      </w:r>
      <w:r>
        <w:rPr>
          <w:rFonts w:ascii="Calibri" w:cs="Calibri" w:eastAsia="Calibri" w:hAnsi="Calibri"/>
        </w:rPr>
        <w:t xml:space="preserve"> Answer-only or action-capable? Which data classes reach the model? Which model/version and account/region? Guardrails on input and output? Is RAG permission-aware? When was it last red-teamed?</w:t>
      </w:r>
    </w:p>
    <w:p>
      <w:pPr>
        <w:spacing w:after="120"/>
      </w:pPr>
      <w:r>
        <w:rPr>
          <w:rFonts w:ascii="Calibri" w:cs="Calibri" w:eastAsia="Calibri" w:hAnsi="Calibri"/>
          <w:b/>
          <w:bCs/>
        </w:rPr>
        <w:t xml:space="preserve">SaaS-embedded:</w:t>
      </w:r>
      <w:r>
        <w:rPr>
          <w:rFonts w:ascii="Calibri" w:cs="Calibri" w:eastAsia="Calibri" w:hAnsi="Calibri"/>
        </w:rPr>
        <w:t xml:space="preserve"> Which platforms have AI on, and who enabled it? Which LLM provider and retention terms? Does the trust layer apply to our deployment? What identity does the embedded agent use?</w:t>
      </w:r>
    </w:p>
    <w:p>
      <w:pPr>
        <w:pStyle w:val="Heading2"/>
      </w:pPr>
      <w:r>
        <w:rPr>
          <w:rFonts w:ascii="Calibri" w:cs="Calibri" w:eastAsia="Calibri" w:hAnsi="Calibri"/>
        </w:rPr>
        <w:t xml:space="preserve">Take to upcoming calls</w:t>
      </w:r>
    </w:p>
    <w:p>
      <w:pPr>
        <w:pStyle w:val="ListParagraph"/>
        <w:numPr>
          <w:ilvl w:val="0"/>
          <w:numId w:val="2"/>
        </w:numPr>
        <w:spacing w:after="60"/>
      </w:pPr>
      <w:r>
        <w:rPr>
          <w:rFonts w:ascii="Calibri" w:cs="Calibri" w:eastAsia="Calibri" w:hAnsi="Calibri"/>
          <w:i/>
          <w:iCs/>
        </w:rPr>
        <w:t xml:space="preserve">Nick (ADRs) / Brian, Peter:</w:t>
      </w:r>
      <w:r>
        <w:rPr>
          <w:rFonts w:ascii="Calibri" w:cs="Calibri" w:eastAsia="Calibri" w:hAnsi="Calibri"/>
        </w:rPr>
        <w:t xml:space="preserve"> current MCP usage; which agents/MCP servers exist today; Kiro rollout status and settings.</w:t>
      </w:r>
    </w:p>
    <w:p>
      <w:pPr>
        <w:pStyle w:val="ListParagraph"/>
        <w:numPr>
          <w:ilvl w:val="0"/>
          <w:numId w:val="2"/>
        </w:numPr>
        <w:spacing w:after="60"/>
      </w:pPr>
      <w:r>
        <w:rPr>
          <w:rFonts w:ascii="Calibri" w:cs="Calibri" w:eastAsia="Calibri" w:hAnsi="Calibri"/>
          <w:i/>
          <w:iCs/>
        </w:rPr>
        <w:t xml:space="preserve">GRC call (TMNA/TMCC):</w:t>
      </w:r>
      <w:r>
        <w:rPr>
          <w:rFonts w:ascii="Calibri" w:cs="Calibri" w:eastAsia="Calibri" w:hAnsi="Calibri"/>
        </w:rPr>
        <w:t xml:space="preserve"> is there an existing AI governance questionnaire (09/15 action)? Which TMNA docs cover AI (limits Phase 3 domains)?</w:t>
      </w:r>
    </w:p>
    <w:p>
      <w:pPr>
        <w:pStyle w:val="ListParagraph"/>
        <w:numPr>
          <w:ilvl w:val="0"/>
          <w:numId w:val="2"/>
        </w:numPr>
        <w:spacing w:after="60"/>
      </w:pPr>
      <w:r>
        <w:rPr>
          <w:rFonts w:ascii="Calibri" w:cs="Calibri" w:eastAsia="Calibri" w:hAnsi="Calibri"/>
          <w:i/>
          <w:iCs/>
        </w:rPr>
        <w:t xml:space="preserve">Sarthak Patel (Agentic IAM):</w:t>
      </w:r>
      <w:r>
        <w:rPr>
          <w:rFonts w:ascii="Calibri" w:cs="Calibri" w:eastAsia="Calibri" w:hAnsi="Calibri"/>
        </w:rPr>
        <w:t xml:space="preserve"> agent identity model (workload identity vs. service accounts), OBO/token exchange support in TMNA's IdP, who owns A1/A2.</w:t>
      </w:r>
    </w:p>
    <w:p>
      <w:pPr>
        <w:pStyle w:val="ListParagraph"/>
        <w:numPr>
          <w:ilvl w:val="0"/>
          <w:numId w:val="2"/>
        </w:numPr>
        <w:spacing w:after="60"/>
      </w:pPr>
      <w:r>
        <w:rPr>
          <w:rFonts w:ascii="Calibri" w:cs="Calibri" w:eastAsia="Calibri" w:hAnsi="Calibri"/>
          <w:i/>
          <w:iCs/>
        </w:rPr>
        <w:t xml:space="preserve">SALT contact:</w:t>
      </w:r>
      <w:r>
        <w:rPr>
          <w:rFonts w:ascii="Calibri" w:cs="Calibri" w:eastAsia="Calibri" w:hAnsi="Calibri"/>
        </w:rPr>
        <w:t xml:space="preserve"> licensed tier (AG-SPM/AG-DR/MCP Protect?), east-west visibility, MCP server discovery coverage.</w:t>
      </w:r>
    </w:p>
    <w:p>
      <w:pPr>
        <w:pStyle w:val="ListParagraph"/>
        <w:numPr>
          <w:ilvl w:val="0"/>
          <w:numId w:val="2"/>
        </w:numPr>
        <w:spacing w:after="60"/>
      </w:pPr>
      <w:r>
        <w:rPr>
          <w:rFonts w:ascii="Calibri" w:cs="Calibri" w:eastAsia="Calibri" w:hAnsi="Calibri"/>
          <w:i/>
          <w:iCs/>
        </w:rPr>
        <w:t xml:space="preserve">Guardium internal owner:</w:t>
      </w:r>
      <w:r>
        <w:rPr>
          <w:rFonts w:ascii="Calibri" w:cs="Calibri" w:eastAsia="Calibri" w:hAnsi="Calibri"/>
        </w:rPr>
        <w:t xml:space="preserve"> is it deployed, is agentic monitoring in the license, any inline component?</w:t>
      </w:r>
    </w:p>
    <w:p>
      <w:pPr>
        <w:pStyle w:val="ListParagraph"/>
        <w:numPr>
          <w:ilvl w:val="0"/>
          <w:numId w:val="2"/>
        </w:numPr>
        <w:spacing w:after="60"/>
      </w:pPr>
      <w:r>
        <w:rPr>
          <w:rFonts w:ascii="Calibri" w:cs="Calibri" w:eastAsia="Calibri" w:hAnsi="Calibri"/>
          <w:i/>
          <w:iCs/>
        </w:rPr>
        <w:t xml:space="preserve">Aaron:</w:t>
      </w:r>
      <w:r>
        <w:rPr>
          <w:rFonts w:ascii="Calibri" w:cs="Calibri" w:eastAsia="Calibri" w:hAnsi="Calibri"/>
        </w:rPr>
        <w:t xml:space="preserve"> reconcile §4.4 with his MCP pipeline control list before Moksh's draft goes out.</w:t>
      </w:r>
    </w:p>
    <w:p>
      <w:pPr>
        <w:pStyle w:val="ListParagraph"/>
        <w:numPr>
          <w:ilvl w:val="0"/>
          <w:numId w:val="2"/>
        </w:numPr>
        <w:spacing w:after="60"/>
      </w:pPr>
      <w:r>
        <w:rPr>
          <w:rFonts w:ascii="Calibri" w:cs="Calibri" w:eastAsia="Calibri" w:hAnsi="Calibri"/>
          <w:i/>
          <w:iCs/>
        </w:rPr>
        <w:t xml:space="preserve">Ben:</w:t>
      </w:r>
      <w:r>
        <w:rPr>
          <w:rFonts w:ascii="Calibri" w:cs="Calibri" w:eastAsia="Calibri" w:hAnsi="Calibri"/>
        </w:rPr>
        <w:t xml:space="preserve"> confirm the 5 categories ("Workday" = Workforce?) and record the 4-pattern decision in the decision log.</w:t>
      </w:r>
    </w:p>
    <w:p>
      <w:pPr>
        <w:pStyle w:val="Heading1"/>
      </w:pPr>
      <w:r>
        <w:rPr>
          <w:rFonts w:ascii="Calibri" w:cs="Calibri" w:eastAsia="Calibri" w:hAnsi="Calibri"/>
        </w:rPr>
        <w:t xml:space="preserve">Sources</w:t>
      </w:r>
    </w:p>
    <w:p>
      <w:pPr>
        <w:spacing w:after="120"/>
      </w:pPr>
      <w:r>
        <w:rPr>
          <w:rFonts w:ascii="Calibri" w:cs="Calibri" w:eastAsia="Calibri" w:hAnsi="Calibri"/>
          <w:b/>
          <w:bCs/>
        </w:rPr>
        <w:t xml:space="preserve">Engagement (internal):</w:t>
      </w:r>
      <w:r>
        <w:rPr>
          <w:rFonts w:ascii="Calibri" w:cs="Calibri" w:eastAsia="Calibri" w:hAnsi="Calibri"/>
        </w:rPr>
        <w:t xml:space="preserve"> Granola notes — </w:t>
      </w:r>
      <w:hyperlink w:history="1" r:id="rIdzlylo2_dp1o09pcd3e8oq">
        <w:r>
          <w:rPr>
            <w:rStyle w:val="Hyperlink"/>
            <w:rFonts w:ascii="Calibri" w:cs="Calibri" w:eastAsia="Calibri" w:hAnsi="Calibri"/>
          </w:rPr>
          <w:t xml:space="preserve">Engagement kickoff with delivery team, 09/14</w:t>
        </w:r>
      </w:hyperlink>
      <w:r>
        <w:rPr>
          <w:rFonts w:ascii="Calibri" w:cs="Calibri" w:eastAsia="Calibri" w:hAnsi="Calibri"/>
        </w:rPr>
        <w:t xml:space="preserve"> · </w:t>
      </w:r>
      <w:hyperlink w:history="1" r:id="rIdvfrzelt-eru16q7yeocvg">
        <w:r>
          <w:rPr>
            <w:rStyle w:val="Hyperlink"/>
            <w:rFonts w:ascii="Calibri" w:cs="Calibri" w:eastAsia="Calibri" w:hAnsi="Calibri"/>
          </w:rPr>
          <w:t xml:space="preserve">Kickoff prep, 09/14</w:t>
        </w:r>
      </w:hyperlink>
      <w:r>
        <w:rPr>
          <w:rFonts w:ascii="Calibri" w:cs="Calibri" w:eastAsia="Calibri" w:hAnsi="Calibri"/>
        </w:rPr>
        <w:t xml:space="preserve"> · </w:t>
      </w:r>
      <w:hyperlink w:history="1" r:id="rIdkp_avt5vllmqtde2oxgio">
        <w:r>
          <w:rPr>
            <w:rStyle w:val="Hyperlink"/>
            <w:rFonts w:ascii="Calibri" w:cs="Calibri" w:eastAsia="Calibri" w:hAnsi="Calibri"/>
          </w:rPr>
          <w:t xml:space="preserve">Sign-off process and questionnaires, 09/15</w:t>
        </w:r>
      </w:hyperlink>
      <w:r>
        <w:rPr>
          <w:rFonts w:ascii="Calibri" w:cs="Calibri" w:eastAsia="Calibri" w:hAnsi="Calibri"/>
        </w:rPr>
        <w:t xml:space="preserve"> · </w:t>
      </w:r>
      <w:hyperlink w:history="1" r:id="rIdoloo5wvjegzzttgugzddj">
        <w:r>
          <w:rPr>
            <w:rStyle w:val="Hyperlink"/>
            <w:rFonts w:ascii="Calibri" w:cs="Calibri" w:eastAsia="Calibri" w:hAnsi="Calibri"/>
          </w:rPr>
          <w:t xml:space="preserve">Pre-tasks and weekly status, 09/17</w:t>
        </w:r>
      </w:hyperlink>
      <w:r>
        <w:rPr>
          <w:rFonts w:ascii="Calibri" w:cs="Calibri" w:eastAsia="Calibri" w:hAnsi="Calibri"/>
        </w:rPr>
        <w:t xml:space="preserve"> · </w:t>
      </w:r>
      <w:hyperlink w:history="1" r:id="rIdlhxffslshwfevfwi9fwqt">
        <w:r>
          <w:rPr>
            <w:rStyle w:val="Hyperlink"/>
            <w:rFonts w:ascii="Calibri" w:cs="Calibri" w:eastAsia="Calibri" w:hAnsi="Calibri"/>
          </w:rPr>
          <w:t xml:space="preserve">Weekly status update plan, 09/18</w:t>
        </w:r>
      </w:hyperlink>
      <w:r>
        <w:rPr>
          <w:rFonts w:ascii="Calibri" w:cs="Calibri" w:eastAsia="Calibri" w:hAnsi="Calibri"/>
        </w:rPr>
        <w:t xml:space="preserve"> · </w:t>
      </w:r>
      <w:hyperlink w:history="1" r:id="rIdcxgnd2oxes0l22dvlisfn">
        <w:r>
          <w:rPr>
            <w:rStyle w:val="Hyperlink"/>
            <w:rFonts w:ascii="Calibri" w:cs="Calibri" w:eastAsia="Calibri" w:hAnsi="Calibri"/>
          </w:rPr>
          <w:t xml:space="preserve">Follow-up on consulting deck, 09/11</w:t>
        </w:r>
      </w:hyperlink>
      <w:r>
        <w:rPr>
          <w:rFonts w:ascii="Calibri" w:cs="Calibri" w:eastAsia="Calibri" w:hAnsi="Calibri"/>
        </w:rPr>
        <w:t xml:space="preserve">; project docs </w:t>
      </w:r>
      <w:r>
        <w:rPr>
          <w:rFonts w:ascii="Consolas" w:cs="Consolas" w:eastAsia="Consolas" w:hAnsi="Consolas"/>
          <w:sz w:val="19"/>
          <w:szCs w:val="19"/>
        </w:rPr>
        <w:t xml:space="preserve">Deloitte-SOW-AI-Security-Architecture.md</w:t>
      </w:r>
      <w:r>
        <w:rPr>
          <w:rFonts w:ascii="Calibri" w:cs="Calibri" w:eastAsia="Calibri" w:hAnsi="Calibri"/>
        </w:rPr>
        <w:t xml:space="preserve">, </w:t>
      </w:r>
      <w:r>
        <w:rPr>
          <w:rFonts w:ascii="Consolas" w:cs="Consolas" w:eastAsia="Consolas" w:hAnsi="Consolas"/>
          <w:sz w:val="19"/>
          <w:szCs w:val="19"/>
        </w:rPr>
        <w:t xml:space="preserve">AI-Security-Patterns-Catalog.md</w:t>
      </w:r>
      <w:r>
        <w:rPr>
          <w:rFonts w:ascii="Calibri" w:cs="Calibri" w:eastAsia="Calibri" w:hAnsi="Calibri"/>
        </w:rPr>
        <w:t xml:space="preserve">, </w:t>
      </w:r>
      <w:r>
        <w:rPr>
          <w:rFonts w:ascii="Consolas" w:cs="Consolas" w:eastAsia="Consolas" w:hAnsi="Consolas"/>
          <w:sz w:val="19"/>
          <w:szCs w:val="19"/>
        </w:rPr>
        <w:t xml:space="preserve">AI-Governance-Extended-Topics.md</w:t>
      </w:r>
      <w:r>
        <w:rPr>
          <w:rFonts w:ascii="Calibri" w:cs="Calibri" w:eastAsia="Calibri" w:hAnsi="Calibri"/>
        </w:rPr>
        <w:t xml:space="preserve">.</w:t>
      </w:r>
    </w:p>
    <w:p>
      <w:pPr>
        <w:spacing w:after="120"/>
      </w:pPr>
      <w:r>
        <w:rPr>
          <w:rFonts w:ascii="Calibri" w:cs="Calibri" w:eastAsia="Calibri" w:hAnsi="Calibri"/>
          <w:b/>
          <w:bCs/>
        </w:rPr>
        <w:t xml:space="preserve">MCP:</w:t>
      </w:r>
      <w:r>
        <w:rPr>
          <w:rFonts w:ascii="Calibri" w:cs="Calibri" w:eastAsia="Calibri" w:hAnsi="Calibri"/>
        </w:rPr>
        <w:t xml:space="preserve"> </w:t>
      </w:r>
      <w:hyperlink w:history="1" r:id="rIdbgnzz4btqlio0uykplne_">
        <w:r>
          <w:rPr>
            <w:rStyle w:val="Hyperlink"/>
            <w:rFonts w:ascii="Calibri" w:cs="Calibri" w:eastAsia="Calibri" w:hAnsi="Calibri"/>
          </w:rPr>
          <w:t xml:space="preserve">MCP Security Best Practices (spec 2026-07-28)</w:t>
        </w:r>
      </w:hyperlink>
      <w:r>
        <w:rPr>
          <w:rFonts w:ascii="Calibri" w:cs="Calibri" w:eastAsia="Calibri" w:hAnsi="Calibri"/>
        </w:rPr>
        <w:t xml:space="preserve"> · </w:t>
      </w:r>
      <w:hyperlink w:history="1" r:id="rIdpqbnwdya4jf8gb86ckaao">
        <w:r>
          <w:rPr>
            <w:rStyle w:val="Hyperlink"/>
            <w:rFonts w:ascii="Calibri" w:cs="Calibri" w:eastAsia="Calibri" w:hAnsi="Calibri"/>
          </w:rPr>
          <w:t xml:space="preserve">OWASP MCP Top 10</w:t>
        </w:r>
      </w:hyperlink>
      <w:r>
        <w:rPr>
          <w:rFonts w:ascii="Calibri" w:cs="Calibri" w:eastAsia="Calibri" w:hAnsi="Calibri"/>
        </w:rPr>
        <w:t xml:space="preserve"> · </w:t>
      </w:r>
      <w:hyperlink w:history="1" r:id="rIdne3lrz3umlrvov_pchf_t">
        <w:r>
          <w:rPr>
            <w:rStyle w:val="Hyperlink"/>
            <w:rFonts w:ascii="Calibri" w:cs="Calibri" w:eastAsia="Calibri" w:hAnsi="Calibri"/>
          </w:rPr>
          <w:t xml:space="preserve">Cycode — OWASP MCP Top 10 guide</w:t>
        </w:r>
      </w:hyperlink>
      <w:r>
        <w:rPr>
          <w:rFonts w:ascii="Calibri" w:cs="Calibri" w:eastAsia="Calibri" w:hAnsi="Calibri"/>
        </w:rPr>
        <w:t xml:space="preserve"> · </w:t>
      </w:r>
      <w:hyperlink w:history="1" r:id="rIdo69f3seid2q0sidjnou6g">
        <w:r>
          <w:rPr>
            <w:rStyle w:val="Hyperlink"/>
            <w:rFonts w:ascii="Calibri" w:cs="Calibri" w:eastAsia="Calibri" w:hAnsi="Calibri"/>
          </w:rPr>
          <w:t xml:space="preserve">CoSAI MCP Security whitepaper (PDF)</w:t>
        </w:r>
      </w:hyperlink>
      <w:r>
        <w:rPr>
          <w:rFonts w:ascii="Calibri" w:cs="Calibri" w:eastAsia="Calibri" w:hAnsi="Calibri"/>
        </w:rPr>
        <w:t xml:space="preserve"> · </w:t>
      </w:r>
      <w:hyperlink w:history="1" r:id="rIdkwcorihkhlhj_scyrgwam">
        <w:r>
          <w:rPr>
            <w:rStyle w:val="Hyperlink"/>
            <w:rFonts w:ascii="Calibri" w:cs="Calibri" w:eastAsia="Calibri" w:hAnsi="Calibri"/>
          </w:rPr>
          <w:t xml:space="preserve">CoSAI — practical MCP security guide</w:t>
        </w:r>
      </w:hyperlink>
      <w:r>
        <w:rPr>
          <w:rFonts w:ascii="Calibri" w:cs="Calibri" w:eastAsia="Calibri" w:hAnsi="Calibri"/>
        </w:rPr>
        <w:t xml:space="preserve"> · </w:t>
      </w:r>
      <w:hyperlink w:history="1" r:id="rIdo3j4m7bhhkjq6xahochdr">
        <w:r>
          <w:rPr>
            <w:rStyle w:val="Hyperlink"/>
            <w:rFonts w:ascii="Calibri" w:cs="Calibri" w:eastAsia="Calibri" w:hAnsi="Calibri"/>
          </w:rPr>
          <w:t xml:space="preserve">Adversa — CoSAI MCP takeaways</w:t>
        </w:r>
      </w:hyperlink>
      <w:r>
        <w:rPr>
          <w:rFonts w:ascii="Calibri" w:cs="Calibri" w:eastAsia="Calibri" w:hAnsi="Calibri"/>
        </w:rPr>
        <w:t xml:space="preserve"> · </w:t>
      </w:r>
      <w:hyperlink w:history="1" r:id="rIdfdhiwa9eqydlbpnsuqj25">
        <w:r>
          <w:rPr>
            <w:rStyle w:val="Hyperlink"/>
            <w:rFonts w:ascii="Calibri" w:cs="Calibri" w:eastAsia="Calibri" w:hAnsi="Calibri"/>
          </w:rPr>
          <w:t xml:space="preserve">CSA — Agentic MCP Security Best Practices</w:t>
        </w:r>
      </w:hyperlink>
      <w:r>
        <w:rPr>
          <w:rFonts w:ascii="Calibri" w:cs="Calibri" w:eastAsia="Calibri" w:hAnsi="Calibri"/>
        </w:rPr>
        <w:t xml:space="preserve"> · </w:t>
      </w:r>
      <w:hyperlink w:history="1" r:id="rIdbwr7i-dtm0lqvgqdzikdp">
        <w:r>
          <w:rPr>
            <w:rStyle w:val="Hyperlink"/>
            <w:rFonts w:ascii="Calibri" w:cs="Calibri" w:eastAsia="Calibri" w:hAnsi="Calibri"/>
          </w:rPr>
          <w:t xml:space="preserve">AuthZed — MCP breach timeline</w:t>
        </w:r>
      </w:hyperlink>
      <w:r>
        <w:rPr>
          <w:rFonts w:ascii="Calibri" w:cs="Calibri" w:eastAsia="Calibri" w:hAnsi="Calibri"/>
        </w:rPr>
        <w:t xml:space="preserve"> · </w:t>
      </w:r>
      <w:hyperlink w:history="1" r:id="rIdiztelbinxqy75yt7lfvty">
        <w:r>
          <w:rPr>
            <w:rStyle w:val="Hyperlink"/>
            <w:rFonts w:ascii="Calibri" w:cs="Calibri" w:eastAsia="Calibri" w:hAnsi="Calibri"/>
          </w:rPr>
          <w:t xml:space="preserve">GitHub Advisory — CVE-2025-6514</w:t>
        </w:r>
      </w:hyperlink>
      <w:r>
        <w:rPr>
          <w:rFonts w:ascii="Calibri" w:cs="Calibri" w:eastAsia="Calibri" w:hAnsi="Calibri"/>
        </w:rPr>
        <w:t xml:space="preserve"> · </w:t>
      </w:r>
      <w:hyperlink w:history="1" r:id="rIdz0kqvoydoe9hi2wr0nio8">
        <w:r>
          <w:rPr>
            <w:rStyle w:val="Hyperlink"/>
            <w:rFonts w:ascii="Calibri" w:cs="Calibri" w:eastAsia="Calibri" w:hAnsi="Calibri"/>
          </w:rPr>
          <w:t xml:space="preserve">Snyk — postmark-mcp</w:t>
        </w:r>
      </w:hyperlink>
      <w:r>
        <w:rPr>
          <w:rFonts w:ascii="Calibri" w:cs="Calibri" w:eastAsia="Calibri" w:hAnsi="Calibri"/>
        </w:rPr>
        <w:t xml:space="preserve"> · </w:t>
      </w:r>
      <w:hyperlink w:history="1" r:id="rId0eq2rlm7rekwvwfbqcnyz">
        <w:r>
          <w:rPr>
            <w:rStyle w:val="Hyperlink"/>
            <w:rFonts w:ascii="Calibri" w:cs="Calibri" w:eastAsia="Calibri" w:hAnsi="Calibri"/>
          </w:rPr>
          <w:t xml:space="preserve">UpGuard — MCP incidents</w:t>
        </w:r>
      </w:hyperlink>
      <w:r>
        <w:rPr>
          <w:rFonts w:ascii="Calibri" w:cs="Calibri" w:eastAsia="Calibri" w:hAnsi="Calibri"/>
        </w:rPr>
        <w:t xml:space="preserve"> · </w:t>
      </w:r>
      <w:hyperlink w:history="1" r:id="rIdhtramyhqvwexfwwie4qjg">
        <w:r>
          <w:rPr>
            <w:rStyle w:val="Hyperlink"/>
            <w:rFonts w:ascii="Calibri" w:cs="Calibri" w:eastAsia="Calibri" w:hAnsi="Calibri"/>
          </w:rPr>
          <w:t xml:space="preserve">Vulnerable MCP database</w:t>
        </w:r>
      </w:hyperlink>
    </w:p>
    <w:p>
      <w:pPr>
        <w:spacing w:after="120"/>
      </w:pPr>
      <w:r>
        <w:rPr>
          <w:rFonts w:ascii="Calibri" w:cs="Calibri" w:eastAsia="Calibri" w:hAnsi="Calibri"/>
          <w:b/>
          <w:bCs/>
        </w:rPr>
        <w:t xml:space="preserve">Agentic / identity:</w:t>
      </w:r>
      <w:r>
        <w:rPr>
          <w:rFonts w:ascii="Calibri" w:cs="Calibri" w:eastAsia="Calibri" w:hAnsi="Calibri"/>
        </w:rPr>
        <w:t xml:space="preserve"> </w:t>
      </w:r>
      <w:hyperlink w:history="1" r:id="rIddebk8whzjtnwkzs7dvchk">
        <w:r>
          <w:rPr>
            <w:rStyle w:val="Hyperlink"/>
            <w:rFonts w:ascii="Calibri" w:cs="Calibri" w:eastAsia="Calibri" w:hAnsi="Calibri"/>
          </w:rPr>
          <w:t xml:space="preserve">AWS Agentic AI Security Scoping Matrix</w:t>
        </w:r>
      </w:hyperlink>
      <w:r>
        <w:rPr>
          <w:rFonts w:ascii="Calibri" w:cs="Calibri" w:eastAsia="Calibri" w:hAnsi="Calibri"/>
        </w:rPr>
        <w:t xml:space="preserve"> · </w:t>
      </w:r>
      <w:hyperlink w:history="1" r:id="rIdrqt2t6eelqpj1turesvua">
        <w:r>
          <w:rPr>
            <w:rStyle w:val="Hyperlink"/>
            <w:rFonts w:ascii="Calibri" w:cs="Calibri" w:eastAsia="Calibri" w:hAnsi="Calibri"/>
          </w:rPr>
          <w:t xml:space="preserve">AWS blog</w:t>
        </w:r>
      </w:hyperlink>
      <w:r>
        <w:rPr>
          <w:rFonts w:ascii="Calibri" w:cs="Calibri" w:eastAsia="Calibri" w:hAnsi="Calibri"/>
        </w:rPr>
        <w:t xml:space="preserve"> · </w:t>
      </w:r>
      <w:hyperlink w:history="1" r:id="rIdnpmcv9s6t1pjykqdnmjh8">
        <w:r>
          <w:rPr>
            <w:rStyle w:val="Hyperlink"/>
            <w:rFonts w:ascii="Calibri" w:cs="Calibri" w:eastAsia="Calibri" w:hAnsi="Calibri"/>
          </w:rPr>
          <w:t xml:space="preserve">CSA — scoping matrix enhancement</w:t>
        </w:r>
      </w:hyperlink>
      <w:r>
        <w:rPr>
          <w:rFonts w:ascii="Calibri" w:cs="Calibri" w:eastAsia="Calibri" w:hAnsi="Calibri"/>
        </w:rPr>
        <w:t xml:space="preserve"> · </w:t>
      </w:r>
      <w:hyperlink w:history="1" r:id="rIdlkllemhckqmdcye4z0mjo">
        <w:r>
          <w:rPr>
            <w:rStyle w:val="Hyperlink"/>
            <w:rFonts w:ascii="Calibri" w:cs="Calibri" w:eastAsia="Calibri" w:hAnsi="Calibri"/>
          </w:rPr>
          <w:t xml:space="preserve">NCCoE — agent identity &amp; authorization</w:t>
        </w:r>
      </w:hyperlink>
      <w:r>
        <w:rPr>
          <w:rFonts w:ascii="Calibri" w:cs="Calibri" w:eastAsia="Calibri" w:hAnsi="Calibri"/>
        </w:rPr>
        <w:t xml:space="preserve"> · </w:t>
      </w:r>
      <w:hyperlink w:history="1" r:id="rIdcitajdptrligiacfmzovb">
        <w:r>
          <w:rPr>
            <w:rStyle w:val="Hyperlink"/>
            <w:rFonts w:ascii="Calibri" w:cs="Calibri" w:eastAsia="Calibri" w:hAnsi="Calibri"/>
          </w:rPr>
          <w:t xml:space="preserve">CoSAI — Agentic IAM</w:t>
        </w:r>
      </w:hyperlink>
      <w:r>
        <w:rPr>
          <w:rFonts w:ascii="Calibri" w:cs="Calibri" w:eastAsia="Calibri" w:hAnsi="Calibri"/>
        </w:rPr>
        <w:t xml:space="preserve"> · </w:t>
      </w:r>
      <w:hyperlink w:history="1" r:id="rId0z-vlkgtbu6e1r6fwburk">
        <w:r>
          <w:rPr>
            <w:rStyle w:val="Hyperlink"/>
            <w:rFonts w:ascii="Calibri" w:cs="Calibri" w:eastAsia="Calibri" w:hAnsi="Calibri"/>
          </w:rPr>
          <w:t xml:space="preserve">OASIS — CoSAI agentic identity release</w:t>
        </w:r>
      </w:hyperlink>
      <w:r>
        <w:rPr>
          <w:rFonts w:ascii="Calibri" w:cs="Calibri" w:eastAsia="Calibri" w:hAnsi="Calibri"/>
        </w:rPr>
        <w:t xml:space="preserve"> · </w:t>
      </w:r>
      <w:hyperlink w:history="1" r:id="rIdrr6q0fehcf1rmdkvtxae7">
        <w:r>
          <w:rPr>
            <w:rStyle w:val="Hyperlink"/>
            <w:rFonts w:ascii="Calibri" w:cs="Calibri" w:eastAsia="Calibri" w:hAnsi="Calibri"/>
          </w:rPr>
          <w:t xml:space="preserve">Meta — Agents Rule of Two</w:t>
        </w:r>
      </w:hyperlink>
      <w:r>
        <w:rPr>
          <w:rFonts w:ascii="Calibri" w:cs="Calibri" w:eastAsia="Calibri" w:hAnsi="Calibri"/>
        </w:rPr>
        <w:t xml:space="preserve"> · </w:t>
      </w:r>
      <w:hyperlink w:history="1" r:id="rIdjlthjbsb767ecipndp2l0">
        <w:r>
          <w:rPr>
            <w:rStyle w:val="Hyperlink"/>
            <w:rFonts w:ascii="Calibri" w:cs="Calibri" w:eastAsia="Calibri" w:hAnsi="Calibri"/>
          </w:rPr>
          <w:t xml:space="preserve">Simon Willison — lethal trifecta</w:t>
        </w:r>
      </w:hyperlink>
      <w:r>
        <w:rPr>
          <w:rFonts w:ascii="Calibri" w:cs="Calibri" w:eastAsia="Calibri" w:hAnsi="Calibri"/>
        </w:rPr>
        <w:t xml:space="preserve"> · </w:t>
      </w:r>
      <w:hyperlink w:history="1" r:id="rId_n7qazl-jornurbvvufix">
        <w:r>
          <w:rPr>
            <w:rStyle w:val="Hyperlink"/>
            <w:rFonts w:ascii="Calibri" w:cs="Calibri" w:eastAsia="Calibri" w:hAnsi="Calibri"/>
          </w:rPr>
          <w:t xml:space="preserve">Oso — Rule of Two enforcement</w:t>
        </w:r>
      </w:hyperlink>
      <w:r>
        <w:rPr>
          <w:rFonts w:ascii="Calibri" w:cs="Calibri" w:eastAsia="Calibri" w:hAnsi="Calibri"/>
        </w:rPr>
        <w:t xml:space="preserve"> · </w:t>
      </w:r>
      <w:hyperlink w:history="1" r:id="rIdf62ymoycet6kiylh4osju">
        <w:r>
          <w:rPr>
            <w:rStyle w:val="Hyperlink"/>
            <w:rFonts w:ascii="Calibri" w:cs="Calibri" w:eastAsia="Calibri" w:hAnsi="Calibri"/>
          </w:rPr>
          <w:t xml:space="preserve">A2A specification</w:t>
        </w:r>
      </w:hyperlink>
      <w:r>
        <w:rPr>
          <w:rFonts w:ascii="Calibri" w:cs="Calibri" w:eastAsia="Calibri" w:hAnsi="Calibri"/>
        </w:rPr>
        <w:t xml:space="preserve"> · </w:t>
      </w:r>
      <w:hyperlink w:history="1" r:id="rIdc9-zc12gsep3agmk7_x84">
        <w:r>
          <w:rPr>
            <w:rStyle w:val="Hyperlink"/>
            <w:rFonts w:ascii="Calibri" w:cs="Calibri" w:eastAsia="Calibri" w:hAnsi="Calibri"/>
          </w:rPr>
          <w:t xml:space="preserve">Palo Alto — A2A risks</w:t>
        </w:r>
      </w:hyperlink>
      <w:r>
        <w:rPr>
          <w:rFonts w:ascii="Calibri" w:cs="Calibri" w:eastAsia="Calibri" w:hAnsi="Calibri"/>
        </w:rPr>
        <w:t xml:space="preserve"> · </w:t>
      </w:r>
      <w:hyperlink w:history="1" r:id="rIdqh_sz9s2xvj3beytwkb6t">
        <w:r>
          <w:rPr>
            <w:rStyle w:val="Hyperlink"/>
            <w:rFonts w:ascii="Calibri" w:cs="Calibri" w:eastAsia="Calibri" w:hAnsi="Calibri"/>
          </w:rPr>
          <w:t xml:space="preserve">SAIF risk map</w:t>
        </w:r>
      </w:hyperlink>
      <w:r>
        <w:rPr>
          <w:rFonts w:ascii="Calibri" w:cs="Calibri" w:eastAsia="Calibri" w:hAnsi="Calibri"/>
        </w:rPr>
        <w:t xml:space="preserve"> · </w:t>
      </w:r>
      <w:hyperlink w:history="1" r:id="rIdos39scq0f6wojgb6ofql7">
        <w:r>
          <w:rPr>
            <w:rStyle w:val="Hyperlink"/>
            <w:rFonts w:ascii="Calibri" w:cs="Calibri" w:eastAsia="Calibri" w:hAnsi="Calibri"/>
          </w:rPr>
          <w:t xml:space="preserve">SAIF — agents</w:t>
        </w:r>
      </w:hyperlink>
    </w:p>
    <w:p>
      <w:pPr>
        <w:spacing w:after="120"/>
      </w:pPr>
      <w:r>
        <w:rPr>
          <w:rFonts w:ascii="Calibri" w:cs="Calibri" w:eastAsia="Calibri" w:hAnsi="Calibri"/>
          <w:b/>
          <w:bCs/>
        </w:rPr>
        <w:t xml:space="preserve">AWS / vendors:</w:t>
      </w:r>
      <w:r>
        <w:rPr>
          <w:rFonts w:ascii="Calibri" w:cs="Calibri" w:eastAsia="Calibri" w:hAnsi="Calibri"/>
        </w:rPr>
        <w:t xml:space="preserve"> </w:t>
      </w:r>
      <w:hyperlink w:history="1" r:id="rIduxatsrpz-jrkpuqmblttf">
        <w:r>
          <w:rPr>
            <w:rStyle w:val="Hyperlink"/>
            <w:rFonts w:ascii="Calibri" w:cs="Calibri" w:eastAsia="Calibri" w:hAnsi="Calibri"/>
          </w:rPr>
          <w:t xml:space="preserve">AgentCore Policy</w:t>
        </w:r>
      </w:hyperlink>
      <w:r>
        <w:rPr>
          <w:rFonts w:ascii="Calibri" w:cs="Calibri" w:eastAsia="Calibri" w:hAnsi="Calibri"/>
        </w:rPr>
        <w:t xml:space="preserve"> · </w:t>
      </w:r>
      <w:hyperlink w:history="1" r:id="rId_6aw4hemsy50j9awpkpzb">
        <w:r>
          <w:rPr>
            <w:rStyle w:val="Hyperlink"/>
            <w:rFonts w:ascii="Calibri" w:cs="Calibri" w:eastAsia="Calibri" w:hAnsi="Calibri"/>
          </w:rPr>
          <w:t xml:space="preserve">AgentCore Gateway</w:t>
        </w:r>
      </w:hyperlink>
      <w:r>
        <w:rPr>
          <w:rFonts w:ascii="Calibri" w:cs="Calibri" w:eastAsia="Calibri" w:hAnsi="Calibri"/>
        </w:rPr>
        <w:t xml:space="preserve"> · </w:t>
      </w:r>
      <w:hyperlink w:history="1" r:id="rId4cw3kdqsyzftdmjqb3cxh">
        <w:r>
          <w:rPr>
            <w:rStyle w:val="Hyperlink"/>
            <w:rFonts w:ascii="Calibri" w:cs="Calibri" w:eastAsia="Calibri" w:hAnsi="Calibri"/>
          </w:rPr>
          <w:t xml:space="preserve">AgentCore Gateway interceptors</w:t>
        </w:r>
      </w:hyperlink>
      <w:r>
        <w:rPr>
          <w:rFonts w:ascii="Calibri" w:cs="Calibri" w:eastAsia="Calibri" w:hAnsi="Calibri"/>
        </w:rPr>
        <w:t xml:space="preserve"> · </w:t>
      </w:r>
      <w:hyperlink w:history="1" r:id="rIdsj2jsml_uyw4d9nzqtccs">
        <w:r>
          <w:rPr>
            <w:rStyle w:val="Hyperlink"/>
            <w:rFonts w:ascii="Calibri" w:cs="Calibri" w:eastAsia="Calibri" w:hAnsi="Calibri"/>
          </w:rPr>
          <w:t xml:space="preserve">IBM Guardium — agentic AI monitoring</w:t>
        </w:r>
      </w:hyperlink>
      <w:r>
        <w:rPr>
          <w:rFonts w:ascii="Calibri" w:cs="Calibri" w:eastAsia="Calibri" w:hAnsi="Calibri"/>
        </w:rPr>
        <w:t xml:space="preserve"> · </w:t>
      </w:r>
      <w:hyperlink w:history="1" r:id="rIdk0rze8meubmey4xayd2tb">
        <w:r>
          <w:rPr>
            <w:rStyle w:val="Hyperlink"/>
            <w:rFonts w:ascii="Calibri" w:cs="Calibri" w:eastAsia="Calibri" w:hAnsi="Calibri"/>
          </w:rPr>
          <w:t xml:space="preserve">Guardium AI Security on AWS</w:t>
        </w:r>
      </w:hyperlink>
    </w:p>
    <w:p>
      <w:pPr>
        <w:spacing w:after="120"/>
      </w:pPr>
      <w:r>
        <w:rPr>
          <w:rFonts w:ascii="Calibri" w:cs="Calibri" w:eastAsia="Calibri" w:hAnsi="Calibri"/>
          <w:b/>
          <w:bCs/>
        </w:rPr>
        <w:t xml:space="preserve">GenAI / workforce / developer / controls:</w:t>
      </w:r>
      <w:r>
        <w:rPr>
          <w:rFonts w:ascii="Calibri" w:cs="Calibri" w:eastAsia="Calibri" w:hAnsi="Calibri"/>
        </w:rPr>
        <w:t xml:space="preserve"> </w:t>
      </w:r>
      <w:hyperlink w:history="1" r:id="rIdbmfxuo1-2jdxlmg7pleej">
        <w:r>
          <w:rPr>
            <w:rStyle w:val="Hyperlink"/>
            <w:rFonts w:ascii="Calibri" w:cs="Calibri" w:eastAsia="Calibri" w:hAnsi="Calibri"/>
          </w:rPr>
          <w:t xml:space="preserve">AWS GenAI Security Scoping Matrix</w:t>
        </w:r>
      </w:hyperlink>
      <w:r>
        <w:rPr>
          <w:rFonts w:ascii="Calibri" w:cs="Calibri" w:eastAsia="Calibri" w:hAnsi="Calibri"/>
        </w:rPr>
        <w:t xml:space="preserve"> · </w:t>
      </w:r>
      <w:hyperlink w:history="1" r:id="rId1ecgcp_kswxm0kzkpcn6e">
        <w:r>
          <w:rPr>
            <w:rStyle w:val="Hyperlink"/>
            <w:rFonts w:ascii="Calibri" w:cs="Calibri" w:eastAsia="Calibri" w:hAnsi="Calibri"/>
          </w:rPr>
          <w:t xml:space="preserve">AWS — applying controls per scope</w:t>
        </w:r>
      </w:hyperlink>
      <w:r>
        <w:rPr>
          <w:rFonts w:ascii="Calibri" w:cs="Calibri" w:eastAsia="Calibri" w:hAnsi="Calibri"/>
        </w:rPr>
        <w:t xml:space="preserve"> · </w:t>
      </w:r>
      <w:hyperlink w:history="1" r:id="rIdkqvzw-j6y3zsjk1fvgro_">
        <w:r>
          <w:rPr>
            <w:rStyle w:val="Hyperlink"/>
            <w:rFonts w:ascii="Calibri" w:cs="Calibri" w:eastAsia="Calibri" w:hAnsi="Calibri"/>
          </w:rPr>
          <w:t xml:space="preserve">OWASP Secure Coding with AI</w:t>
        </w:r>
      </w:hyperlink>
      <w:r>
        <w:rPr>
          <w:rFonts w:ascii="Calibri" w:cs="Calibri" w:eastAsia="Calibri" w:hAnsi="Calibri"/>
        </w:rPr>
        <w:t xml:space="preserve"> · </w:t>
      </w:r>
      <w:hyperlink w:history="1" r:id="rIdxqm2g99mlr0vxdtk_vrkh">
        <w:r>
          <w:rPr>
            <w:rStyle w:val="Hyperlink"/>
            <w:rFonts w:ascii="Calibri" w:cs="Calibri" w:eastAsia="Calibri" w:hAnsi="Calibri"/>
          </w:rPr>
          <w:t xml:space="preserve">OpenSSF — AI code assistant instructions</w:t>
        </w:r>
      </w:hyperlink>
      <w:r>
        <w:rPr>
          <w:rFonts w:ascii="Calibri" w:cs="Calibri" w:eastAsia="Calibri" w:hAnsi="Calibri"/>
        </w:rPr>
        <w:t xml:space="preserve"> · </w:t>
      </w:r>
      <w:hyperlink w:history="1" r:id="rIdij4hn78dv44nerstnpcjx">
        <w:r>
          <w:rPr>
            <w:rStyle w:val="Hyperlink"/>
            <w:rFonts w:ascii="Calibri" w:cs="Calibri" w:eastAsia="Calibri" w:hAnsi="Calibri"/>
          </w:rPr>
          <w:t xml:space="preserve">Island — DLP for GenAI</w:t>
        </w:r>
      </w:hyperlink>
      <w:r>
        <w:rPr>
          <w:rFonts w:ascii="Calibri" w:cs="Calibri" w:eastAsia="Calibri" w:hAnsi="Calibri"/>
        </w:rPr>
        <w:t xml:space="preserve"> · </w:t>
      </w:r>
      <w:hyperlink w:history="1" r:id="rId4ppu2_9egrgwlnnvjcjhw">
        <w:r>
          <w:rPr>
            <w:rStyle w:val="Hyperlink"/>
            <w:rFonts w:ascii="Calibri" w:cs="Calibri" w:eastAsia="Calibri" w:hAnsi="Calibri"/>
          </w:rPr>
          <w:t xml:space="preserve">Microsoft Edge — shadow AI (RSAC 2026)</w:t>
        </w:r>
      </w:hyperlink>
      <w:r>
        <w:rPr>
          <w:rFonts w:ascii="Calibri" w:cs="Calibri" w:eastAsia="Calibri" w:hAnsi="Calibri"/>
        </w:rPr>
        <w:t xml:space="preserve"> · </w:t>
      </w:r>
      <w:hyperlink w:history="1" r:id="rIduwy0ixhvbdzbx0curmc4x">
        <w:r>
          <w:rPr>
            <w:rStyle w:val="Hyperlink"/>
            <w:rFonts w:ascii="Calibri" w:cs="Calibri" w:eastAsia="Calibri" w:hAnsi="Calibri"/>
          </w:rPr>
          <w:t xml:space="preserve">CSA AI Controls Matrix v1.1</w:t>
        </w:r>
      </w:hyperlink>
      <w:r>
        <w:rPr>
          <w:rFonts w:ascii="Calibri" w:cs="Calibri" w:eastAsia="Calibri" w:hAnsi="Calibri"/>
        </w:rPr>
        <w:t xml:space="preserve"> · </w:t>
      </w:r>
      <w:hyperlink w:history="1" r:id="rId2zeikwxkfffhhrola-xue">
        <w:r>
          <w:rPr>
            <w:rStyle w:val="Hyperlink"/>
            <w:rFonts w:ascii="Calibri" w:cs="Calibri" w:eastAsia="Calibri" w:hAnsi="Calibri"/>
          </w:rPr>
          <w:t xml:space="preserve">NIST COSAiS use cases</w:t>
        </w:r>
      </w:hyperlink>
      <w:r>
        <w:rPr>
          <w:rFonts w:ascii="Calibri" w:cs="Calibri" w:eastAsia="Calibri" w:hAnsi="Calibri"/>
        </w:rPr>
        <w:t xml:space="preserve"> · </w:t>
      </w:r>
      <w:hyperlink w:history="1" r:id="rIdu6zkoyuyuvo-3vlaz9-4p">
        <w:r>
          <w:rPr>
            <w:rStyle w:val="Hyperlink"/>
            <w:rFonts w:ascii="Calibri" w:cs="Calibri" w:eastAsia="Calibri" w:hAnsi="Calibri"/>
          </w:rPr>
          <w:t xml:space="preserve">OWASP GenAI Security Project</w:t>
        </w:r>
      </w:hyperlink>
    </w:p>
    <w:sectPr>
      <w:headerReference w:type="default" r:id="rId7"/>
      <w:footerReference w:type="default" r:id="rId8"/>
      <w:pgSz w:w="15840" w:h="12240" w:orient="landscape"/>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TMCC AI Security Architecture — Internal working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color w:val="1F3864"/>
      <w:sz w:val="36"/>
      <w:szCs w:val="36"/>
    </w:rPr>
  </w:style>
  <w:style w:type="paragraph" w:styleId="Heading1">
    <w:name w:val="Heading 1"/>
    <w:basedOn w:val="Normal"/>
    <w:next w:val="Normal"/>
    <w:qFormat/>
    <w:pPr>
      <w:keepNext/>
      <w:pBdr>
        <w:bottom w:val="single" w:color="1F3864" w:sz="6" w:space="2"/>
      </w:pBdr>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20"/>
      <w:outlineLvl w:val="1"/>
    </w:pPr>
    <w:rPr>
      <w:rFonts w:ascii="Calibri" w:cs="Calibri" w:eastAsia="Calibri" w:hAnsi="Calibri"/>
      <w:b/>
      <w:bCs/>
      <w:color w:val="2E5597"/>
      <w:sz w:val="23"/>
      <w:szCs w:val="23"/>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64fnhcp_jzoizmoadvh6" Type="http://schemas.openxmlformats.org/officeDocument/2006/relationships/hyperlink" Target="https://aws.amazon.com/ai/security/generative-ai-scoping-matrix/" TargetMode="External"/><Relationship Id="rIdtp4ojkrl3ishippkrncwb" Type="http://schemas.openxmlformats.org/officeDocument/2006/relationships/hyperlink" Target="https://aws.amazon.com/ai/security/agentic-ai-scoping-matrix/" TargetMode="External"/><Relationship Id="rIdvz_ks8ntph7jvhonp3gme" Type="http://schemas.openxmlformats.org/officeDocument/2006/relationships/hyperlink" Target="https://aws.amazon.com/blogs/security/the-agentic-ai-security-scoping-matrix-a-framework-for-securing-autonomous-ai-systems" TargetMode="External"/><Relationship Id="rIdczmcczys9c3trnzja9--p" Type="http://schemas.openxmlformats.org/officeDocument/2006/relationships/hyperlink" Target="https://cloudsecurityalliance.org/blog/2025/12/16/enhancing-the-agentic-ai-security-scoping-matrix-a-multi-dimensional-approach" TargetMode="External"/><Relationship Id="rIdku3jfhwvpdhjkoocmt_90" Type="http://schemas.openxmlformats.org/officeDocument/2006/relationships/hyperlink" Target="https://saif.google/secure-ai-framework/saif-map" TargetMode="External"/><Relationship Id="rIdda5i9ahrmaza6gxvilex4" Type="http://schemas.openxmlformats.org/officeDocument/2006/relationships/hyperlink" Target="https://saif.google/focus-on-agents" TargetMode="External"/><Relationship Id="rIdq4os-ijywv-70waw6a6nk" Type="http://schemas.openxmlformats.org/officeDocument/2006/relationships/hyperlink" Target="https://genai.owasp.org/" TargetMode="External"/><Relationship Id="rIdf0a7k3izoddov-zigfkdo" Type="http://schemas.openxmlformats.org/officeDocument/2006/relationships/hyperlink" Target="https://owasp.org/www-project-mcp-top-10/" TargetMode="External"/><Relationship Id="rIdd27qflhkjm5r5exobyiud" Type="http://schemas.openxmlformats.org/officeDocument/2006/relationships/hyperlink" Target="https://modelcontextprotocol.io/docs/2026-07-28/tutorials/security/security_best_practices" TargetMode="External"/><Relationship Id="rId8kemfx-j99zrngeg5ptd9" Type="http://schemas.openxmlformats.org/officeDocument/2006/relationships/hyperlink" Target="https://www.coalitionforsecureai.org/wp-content/uploads/2026/03/model-context-protocol-security-1.pdf" TargetMode="External"/><Relationship Id="rIdyetxuv-7lvqqvcunjx2ym" Type="http://schemas.openxmlformats.org/officeDocument/2006/relationships/hyperlink" Target="https://www.nccoe.nist.gov/projects/software-and-ai-agent-identity-and-authorization" TargetMode="External"/><Relationship Id="rIdguntjpaiup6dunrxqcmwg" Type="http://schemas.openxmlformats.org/officeDocument/2006/relationships/hyperlink" Target="https://github.com/cosai-oasis/ws4-secure-design-agentic-systems/blob/main/whitepapers/agentic-identity-and-access-control.md" TargetMode="External"/><Relationship Id="rIdkm6cxzxlkfp4wbj3ddeev" Type="http://schemas.openxmlformats.org/officeDocument/2006/relationships/hyperlink" Target="https://cloudsecurityalliance.org/artifacts/ai-controls-matrix-v1-1" TargetMode="External"/><Relationship Id="rIdxgjsf-gteqxb6hgyhklpr" Type="http://schemas.openxmlformats.org/officeDocument/2006/relationships/hyperlink" Target="https://anomity.ai/blog/csa-aicm-ai-controls-matrix-guide/" TargetMode="External"/><Relationship Id="rIdsfjvowv9d24tbbjimltc9" Type="http://schemas.openxmlformats.org/officeDocument/2006/relationships/hyperlink" Target="https://csrc.nist.gov/Projects/cosais/use-cases" TargetMode="External"/><Relationship Id="rIdtqk1vbkq6q0c4ippst3an" Type="http://schemas.openxmlformats.org/officeDocument/2006/relationships/hyperlink" Target="https://owasp.org/www-project-mcp-top-10/" TargetMode="External"/><Relationship Id="rIdcpt3leul6hz8x4n0irthd" Type="http://schemas.openxmlformats.org/officeDocument/2006/relationships/hyperlink" Target="https://cycode.com/blog/owasp-mcp-top-10/" TargetMode="External"/><Relationship Id="rIdkxfvk8x2n1qb-mppvkxjc" Type="http://schemas.openxmlformats.org/officeDocument/2006/relationships/hyperlink" Target="https://modelcontextprotocol.io/docs/2026-07-28/tutorials/security/security_best_practices" TargetMode="External"/><Relationship Id="rIdiesw0af6of1ofp02mgla3" Type="http://schemas.openxmlformats.org/officeDocument/2006/relationships/hyperlink" Target="https://authzed.com/blog/timeline-mcp-breaches" TargetMode="External"/><Relationship Id="rIdwskldkqpzfubltx1hazub" Type="http://schemas.openxmlformats.org/officeDocument/2006/relationships/hyperlink" Target="https://github.com/advisories/GHSA-6xpm-ggf7-wc3p" TargetMode="External"/><Relationship Id="rIdndoemejcdeyjv03axjsr-" Type="http://schemas.openxmlformats.org/officeDocument/2006/relationships/hyperlink" Target="https://snyk.io/blog/malicious-mcp-server-on-npm-postmark-mcp-harvests-emails/" TargetMode="External"/><Relationship Id="rIdfiro63wiadst_w_xsb8cz" Type="http://schemas.openxmlformats.org/officeDocument/2006/relationships/hyperlink" Target="https://www.upguard.com/blog/mcp-security-incidents" TargetMode="External"/><Relationship Id="rId4d78xixxeyh-lgsxdxsp_" Type="http://schemas.openxmlformats.org/officeDocument/2006/relationships/hyperlink" Target="https://vulnerablemcp.info/" TargetMode="External"/><Relationship Id="rIdhg96w3mhro6elf9ik9rwz" Type="http://schemas.openxmlformats.org/officeDocument/2006/relationships/hyperlink" Target="https://docs.aws.amazon.com/bedrock-agentcore/latest/devguide/policy.html" TargetMode="External"/><Relationship Id="rIdkzdvsf016-y0zbimwfrnk" Type="http://schemas.openxmlformats.org/officeDocument/2006/relationships/hyperlink" Target="https://docs.aws.amazon.com/bedrock-agentcore/latest/devguide/gateway.html" TargetMode="External"/><Relationship Id="rIdittvdhkah0wukzby0flft" Type="http://schemas.openxmlformats.org/officeDocument/2006/relationships/hyperlink" Target="https://aws.amazon.com/blogs/machine-learning/apply-fine-grained-access-control-with-bedrock-agentcore-gateway-interceptors/" TargetMode="External"/><Relationship Id="rIdgbltwoqrkghrpwdvkxmmo" Type="http://schemas.openxmlformats.org/officeDocument/2006/relationships/hyperlink" Target="https://www.ibm.com/new/announcements/introducing-monitoring-agentic-ai-systems-in-ibm-guardium-to-close-the-visibility-gap" TargetMode="External"/><Relationship Id="rIdbgtrvxzzxa20q4cna948z" Type="http://schemas.openxmlformats.org/officeDocument/2006/relationships/hyperlink" Target="https://aws.amazon.com/blogs/ibm-redhat/improve-ai-security-on-aws-with-ibm-guardium-ai-security/" TargetMode="External"/><Relationship Id="rIduxz3p0fgvgydnrrkqofyy" Type="http://schemas.openxmlformats.org/officeDocument/2006/relationships/hyperlink" Target="https://www.island.io/article/enterprise-dlp-generative-ai" TargetMode="External"/><Relationship Id="rIdglqbcwhzrhj2lddxzl_vn" Type="http://schemas.openxmlformats.org/officeDocument/2006/relationships/hyperlink" Target="https://blogs.windows.com/msedgedev/2026/03/23/protect-your-enterprise-from-shadow-ai-and-more-announcements-at-rsac-2026/" TargetMode="External"/><Relationship Id="rId8r3fuh1ubtjbdd-1tedz7" Type="http://schemas.openxmlformats.org/officeDocument/2006/relationships/hyperlink" Target="https://cheatsheetseries.owasp.org/cheatsheets/Secure_Coding_with_AI_Cheat_Sheet.html" TargetMode="External"/><Relationship Id="rIdyx4rfucfbyntz6h5s3lsb" Type="http://schemas.openxmlformats.org/officeDocument/2006/relationships/hyperlink" Target="https://best.openssf.org/Security-Focused-Guide-for-AI-Code-Assistant-Instructions.html" TargetMode="External"/><Relationship Id="rId1_bdt9jdddegav1bjcond" Type="http://schemas.openxmlformats.org/officeDocument/2006/relationships/hyperlink" Target="https://www.nccoe.nist.gov/projects/software-and-ai-agent-identity-and-authorization" TargetMode="External"/><Relationship Id="rId-vmv0jjnnwepgr-4rrojr" Type="http://schemas.openxmlformats.org/officeDocument/2006/relationships/hyperlink" Target="https://github.com/cosai-oasis/ws4-secure-design-agentic-systems/blob/main/whitepapers/agentic-identity-and-access-control.md" TargetMode="External"/><Relationship Id="rIdljkpm4os3meotwsu0y0cy" Type="http://schemas.openxmlformats.org/officeDocument/2006/relationships/hyperlink" Target="https://ai.meta.com/blog/practical-ai-agent-security/" TargetMode="External"/><Relationship Id="rIdwihjnvh6gmwtna6528qi9" Type="http://schemas.openxmlformats.org/officeDocument/2006/relationships/hyperlink" Target="https://simonwillison.net/2025/Jun/16/the-lethal-trifecta/" TargetMode="External"/><Relationship Id="rIdxatugwp-ynklzrcb5acwo" Type="http://schemas.openxmlformats.org/officeDocument/2006/relationships/hyperlink" Target="https://www.osohq.com/docs/oso-for-agents/use-cases" TargetMode="External"/><Relationship Id="rIdhprs6zbmkfyz6xqd_nqzf" Type="http://schemas.openxmlformats.org/officeDocument/2006/relationships/hyperlink" Target="https://aws.amazon.com/ai/security/agentic-ai-scoping-matrix/" TargetMode="External"/><Relationship Id="rIdbxkxearft7splgyput0ri" Type="http://schemas.openxmlformats.org/officeDocument/2006/relationships/hyperlink" Target="https://saif.google/focus-on-agents" TargetMode="External"/><Relationship Id="rIdol33qo7eio27by71qpjt9" Type="http://schemas.openxmlformats.org/officeDocument/2006/relationships/hyperlink" Target="https://a2a-protocol.org/latest/specification/" TargetMode="External"/><Relationship Id="rId8vnugo16itwg9cfnped40" Type="http://schemas.openxmlformats.org/officeDocument/2006/relationships/hyperlink" Target="https://live.paloaltonetworks.com/t5/community-blogs/safeguarding-ai-agents-an-in-depth-look-at-a2a-protocol-risks/ba-p/1235996" TargetMode="External"/><Relationship Id="rId6pf7fwtxdz-zaleyi9gts" Type="http://schemas.openxmlformats.org/officeDocument/2006/relationships/hyperlink" Target="https://docs.aws.amazon.com/bedrock-agentcore/latest/devguide/policy.html" TargetMode="External"/><Relationship Id="rIdgbuc_gghzkvnndnmaons7" Type="http://schemas.openxmlformats.org/officeDocument/2006/relationships/hyperlink" Target="https://aws.amazon.com/blogs/security/securing-generative-ai-applying-relevant-security-controls/" TargetMode="External"/><Relationship Id="rId8gh2doacf4zzqvhehq-ae" Type="http://schemas.openxmlformats.org/officeDocument/2006/relationships/hyperlink" Target="https://aws.amazon.com/blogs/security/securing-generative-ai-applying-relevant-security-controls/" TargetMode="External"/><Relationship Id="rIdzlylo2_dp1o09pcd3e8oq" Type="http://schemas.openxmlformats.org/officeDocument/2006/relationships/hyperlink" Target="https://notes.granola.ai/d/2173555e-f873-4942-a747-532fbeb2c653" TargetMode="External"/><Relationship Id="rIdvfrzelt-eru16q7yeocvg" Type="http://schemas.openxmlformats.org/officeDocument/2006/relationships/hyperlink" Target="https://notes.granola.ai/d/7e3d7be5-cdad-4459-84be-b960b81ea8c6" TargetMode="External"/><Relationship Id="rIdkp_avt5vllmqtde2oxgio" Type="http://schemas.openxmlformats.org/officeDocument/2006/relationships/hyperlink" Target="https://notes.granola.ai/d/d06a814d-639f-4b63-8d59-68a3348b028f" TargetMode="External"/><Relationship Id="rIdoloo5wvjegzzttgugzddj" Type="http://schemas.openxmlformats.org/officeDocument/2006/relationships/hyperlink" Target="https://notes.granola.ai/d/57e07d29-798c-41c2-afe8-a2ebeb7556d8" TargetMode="External"/><Relationship Id="rIdlhxffslshwfevfwi9fwqt" Type="http://schemas.openxmlformats.org/officeDocument/2006/relationships/hyperlink" Target="https://notes.granola.ai/d/fad0cd21-0ee1-4821-bfb3-2a77add164d2" TargetMode="External"/><Relationship Id="rIdcxgnd2oxes0l22dvlisfn" Type="http://schemas.openxmlformats.org/officeDocument/2006/relationships/hyperlink" Target="https://notes.granola.ai/d/a7d57d00-c5ef-49e8-a283-8c635204f63a" TargetMode="External"/><Relationship Id="rIdbgnzz4btqlio0uykplne_" Type="http://schemas.openxmlformats.org/officeDocument/2006/relationships/hyperlink" Target="https://modelcontextprotocol.io/docs/2026-07-28/tutorials/security/security_best_practices" TargetMode="External"/><Relationship Id="rIdpqbnwdya4jf8gb86ckaao" Type="http://schemas.openxmlformats.org/officeDocument/2006/relationships/hyperlink" Target="https://owasp.org/www-project-mcp-top-10/" TargetMode="External"/><Relationship Id="rIdne3lrz3umlrvov_pchf_t" Type="http://schemas.openxmlformats.org/officeDocument/2006/relationships/hyperlink" Target="https://cycode.com/blog/owasp-mcp-top-10/" TargetMode="External"/><Relationship Id="rIdo69f3seid2q0sidjnou6g" Type="http://schemas.openxmlformats.org/officeDocument/2006/relationships/hyperlink" Target="https://www.coalitionforsecureai.org/wp-content/uploads/2026/03/model-context-protocol-security-1.pdf" TargetMode="External"/><Relationship Id="rIdkwcorihkhlhj_scyrgwam" Type="http://schemas.openxmlformats.org/officeDocument/2006/relationships/hyperlink" Target="https://www.coalitionforsecureai.org/securing-the-ai-agent-revolution-a-practical-guide-to-mcp-security/" TargetMode="External"/><Relationship Id="rIdo3j4m7bhhkjq6xahochdr" Type="http://schemas.openxmlformats.org/officeDocument/2006/relationships/hyperlink" Target="https://adversa.ai/blog/mcp-security-whitepaper-2026-cosai-top-insights/" TargetMode="External"/><Relationship Id="rIdfdhiwa9eqydlbpnsuqj25" Type="http://schemas.openxmlformats.org/officeDocument/2006/relationships/hyperlink" Target="https://labs.cloudsecurityalliance.org/agentic/agentic-mcp-security-best-practices-v1/" TargetMode="External"/><Relationship Id="rIdbwr7i-dtm0lqvgqdzikdp" Type="http://schemas.openxmlformats.org/officeDocument/2006/relationships/hyperlink" Target="https://authzed.com/blog/timeline-mcp-breaches" TargetMode="External"/><Relationship Id="rIdiztelbinxqy75yt7lfvty" Type="http://schemas.openxmlformats.org/officeDocument/2006/relationships/hyperlink" Target="https://github.com/advisories/GHSA-6xpm-ggf7-wc3p" TargetMode="External"/><Relationship Id="rIdz0kqvoydoe9hi2wr0nio8" Type="http://schemas.openxmlformats.org/officeDocument/2006/relationships/hyperlink" Target="https://snyk.io/blog/malicious-mcp-server-on-npm-postmark-mcp-harvests-emails/" TargetMode="External"/><Relationship Id="rId0eq2rlm7rekwvwfbqcnyz" Type="http://schemas.openxmlformats.org/officeDocument/2006/relationships/hyperlink" Target="https://www.upguard.com/blog/mcp-security-incidents" TargetMode="External"/><Relationship Id="rIdhtramyhqvwexfwwie4qjg" Type="http://schemas.openxmlformats.org/officeDocument/2006/relationships/hyperlink" Target="https://vulnerablemcp.info/" TargetMode="External"/><Relationship Id="rIddebk8whzjtnwkzs7dvchk" Type="http://schemas.openxmlformats.org/officeDocument/2006/relationships/hyperlink" Target="https://aws.amazon.com/ai/security/agentic-ai-scoping-matrix/" TargetMode="External"/><Relationship Id="rIdrqt2t6eelqpj1turesvua" Type="http://schemas.openxmlformats.org/officeDocument/2006/relationships/hyperlink" Target="https://aws.amazon.com/blogs/security/the-agentic-ai-security-scoping-matrix-a-framework-for-securing-autonomous-ai-systems" TargetMode="External"/><Relationship Id="rIdnpmcv9s6t1pjykqdnmjh8" Type="http://schemas.openxmlformats.org/officeDocument/2006/relationships/hyperlink" Target="https://cloudsecurityalliance.org/blog/2025/12/16/enhancing-the-agentic-ai-security-scoping-matrix-a-multi-dimensional-approach" TargetMode="External"/><Relationship Id="rIdlkllemhckqmdcye4z0mjo" Type="http://schemas.openxmlformats.org/officeDocument/2006/relationships/hyperlink" Target="https://www.nccoe.nist.gov/projects/software-and-ai-agent-identity-and-authorization" TargetMode="External"/><Relationship Id="rIdcitajdptrligiacfmzovb" Type="http://schemas.openxmlformats.org/officeDocument/2006/relationships/hyperlink" Target="https://github.com/cosai-oasis/ws4-secure-design-agentic-systems/blob/main/whitepapers/agentic-identity-and-access-control.md" TargetMode="External"/><Relationship Id="rId0z-vlkgtbu6e1r6fwburk" Type="http://schemas.openxmlformats.org/officeDocument/2006/relationships/hyperlink" Target="https://www.oasis-open.org/2026/05/06/coalition-for-secure-ai-unveils-new-agentic-identity-and-security-research-following-high-profile-sessions-at-rsac-2026/" TargetMode="External"/><Relationship Id="rIdrr6q0fehcf1rmdkvtxae7" Type="http://schemas.openxmlformats.org/officeDocument/2006/relationships/hyperlink" Target="https://ai.meta.com/blog/practical-ai-agent-security/" TargetMode="External"/><Relationship Id="rIdjlthjbsb767ecipndp2l0" Type="http://schemas.openxmlformats.org/officeDocument/2006/relationships/hyperlink" Target="https://simonwillison.net/2025/Jun/16/the-lethal-trifecta/" TargetMode="External"/><Relationship Id="rId_n7qazl-jornurbvvufix" Type="http://schemas.openxmlformats.org/officeDocument/2006/relationships/hyperlink" Target="https://www.osohq.com/docs/oso-for-agents/use-cases" TargetMode="External"/><Relationship Id="rIdf62ymoycet6kiylh4osju" Type="http://schemas.openxmlformats.org/officeDocument/2006/relationships/hyperlink" Target="https://a2a-protocol.org/latest/specification/" TargetMode="External"/><Relationship Id="rIdc9-zc12gsep3agmk7_x84" Type="http://schemas.openxmlformats.org/officeDocument/2006/relationships/hyperlink" Target="https://live.paloaltonetworks.com/t5/community-blogs/safeguarding-ai-agents-an-in-depth-look-at-a2a-protocol-risks/ba-p/1235996" TargetMode="External"/><Relationship Id="rIdqh_sz9s2xvj3beytwkb6t" Type="http://schemas.openxmlformats.org/officeDocument/2006/relationships/hyperlink" Target="https://saif.google/secure-ai-framework/saif-map" TargetMode="External"/><Relationship Id="rIdos39scq0f6wojgb6ofql7" Type="http://schemas.openxmlformats.org/officeDocument/2006/relationships/hyperlink" Target="https://saif.google/focus-on-agents" TargetMode="External"/><Relationship Id="rIduxatsrpz-jrkpuqmblttf" Type="http://schemas.openxmlformats.org/officeDocument/2006/relationships/hyperlink" Target="https://docs.aws.amazon.com/bedrock-agentcore/latest/devguide/policy.html" TargetMode="External"/><Relationship Id="rId_6aw4hemsy50j9awpkpzb" Type="http://schemas.openxmlformats.org/officeDocument/2006/relationships/hyperlink" Target="https://docs.aws.amazon.com/bedrock-agentcore/latest/devguide/gateway.html" TargetMode="External"/><Relationship Id="rId4cw3kdqsyzftdmjqb3cxh" Type="http://schemas.openxmlformats.org/officeDocument/2006/relationships/hyperlink" Target="https://aws.amazon.com/blogs/machine-learning/apply-fine-grained-access-control-with-bedrock-agentcore-gateway-interceptors/" TargetMode="External"/><Relationship Id="rIdsj2jsml_uyw4d9nzqtccs" Type="http://schemas.openxmlformats.org/officeDocument/2006/relationships/hyperlink" Target="https://www.ibm.com/new/announcements/introducing-monitoring-agentic-ai-systems-in-ibm-guardium-to-close-the-visibility-gap" TargetMode="External"/><Relationship Id="rIdk0rze8meubmey4xayd2tb" Type="http://schemas.openxmlformats.org/officeDocument/2006/relationships/hyperlink" Target="https://aws.amazon.com/blogs/ibm-redhat/improve-ai-security-on-aws-with-ibm-guardium-ai-security/" TargetMode="External"/><Relationship Id="rIdbmfxuo1-2jdxlmg7pleej" Type="http://schemas.openxmlformats.org/officeDocument/2006/relationships/hyperlink" Target="https://aws.amazon.com/ai/security/generative-ai-scoping-matrix/" TargetMode="External"/><Relationship Id="rId1ecgcp_kswxm0kzkpcn6e" Type="http://schemas.openxmlformats.org/officeDocument/2006/relationships/hyperlink" Target="https://aws.amazon.com/blogs/security/securing-generative-ai-applying-relevant-security-controls/" TargetMode="External"/><Relationship Id="rIdkqvzw-j6y3zsjk1fvgro_" Type="http://schemas.openxmlformats.org/officeDocument/2006/relationships/hyperlink" Target="https://cheatsheetseries.owasp.org/cheatsheets/Secure_Coding_with_AI_Cheat_Sheet.html" TargetMode="External"/><Relationship Id="rIdxqm2g99mlr0vxdtk_vrkh" Type="http://schemas.openxmlformats.org/officeDocument/2006/relationships/hyperlink" Target="https://best.openssf.org/Security-Focused-Guide-for-AI-Code-Assistant-Instructions.html" TargetMode="External"/><Relationship Id="rIdij4hn78dv44nerstnpcjx" Type="http://schemas.openxmlformats.org/officeDocument/2006/relationships/hyperlink" Target="https://www.island.io/article/enterprise-dlp-generative-ai" TargetMode="External"/><Relationship Id="rId4ppu2_9egrgwlnnvjcjhw" Type="http://schemas.openxmlformats.org/officeDocument/2006/relationships/hyperlink" Target="https://blogs.windows.com/msedgedev/2026/03/23/protect-your-enterprise-from-shadow-ai-and-more-announcements-at-rsac-2026/" TargetMode="External"/><Relationship Id="rIduwy0ixhvbdzbx0curmc4x" Type="http://schemas.openxmlformats.org/officeDocument/2006/relationships/hyperlink" Target="https://cloudsecurityalliance.org/artifacts/ai-controls-matrix-v1-1" TargetMode="External"/><Relationship Id="rId2zeikwxkfffhhrola-xue" Type="http://schemas.openxmlformats.org/officeDocument/2006/relationships/hyperlink" Target="https://csrc.nist.gov/Projects/cosais/use-cases" TargetMode="External"/><Relationship Id="rIdu6zkoyuyuvo-3vlaz9-4p" Type="http://schemas.openxmlformats.org/officeDocument/2006/relationships/hyperlink" Target="https://genai.owasp.org/" TargetMode="External"/><Relationship Id="rId9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TMCC AI Security Patterns — Research by AI Category</dc:title>
  <dc:creator>Stas Kosovskih</dc:creator>
  <cp:lastModifiedBy>Un-named</cp:lastModifiedBy>
  <cp:revision>1</cp:revision>
  <dcterms:created xsi:type="dcterms:W3CDTF">2026-09-21T14:05:45.692Z</dcterms:created>
  <dcterms:modified xsi:type="dcterms:W3CDTF">2026-09-21T14:05:45.702Z</dcterms:modified>
</cp:coreProperties>
</file>

<file path=docProps/custom.xml><?xml version="1.0" encoding="utf-8"?>
<Properties xmlns="http://schemas.openxmlformats.org/officeDocument/2006/custom-properties" xmlns:vt="http://schemas.openxmlformats.org/officeDocument/2006/docPropsVTypes"/>
</file>