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40"/>
      </w:pPr>
      <w:r>
        <w:rPr>
          <w:b/>
          <w:bCs/>
          <w:color w:val="1F3864"/>
          <w:sz w:val="40"/>
          <w:szCs w:val="40"/>
        </w:rPr>
        <w:t xml:space="preserve">Cyber GRC Working Session</w:t>
      </w:r>
    </w:p>
    <w:p>
      <w:pPr>
        <w:spacing w:after="400"/>
      </w:pPr>
      <w:r>
        <w:rPr>
          <w:color w:val="444444"/>
          <w:sz w:val="26"/>
          <w:szCs w:val="26"/>
        </w:rPr>
        <w:t xml:space="preserve">Question set and answer capture</w:t>
      </w:r>
    </w:p>
    <w:p>
      <w:pPr>
        <w:spacing w:after="100"/>
      </w:pPr>
      <w:r>
        <w:rPr>
          <w:sz w:val="22"/>
          <w:szCs w:val="22"/>
        </w:rPr>
        <w:t xml:space="preserve">TMCC AI Security Architecture and Standards Development — Phase 3</w:t>
      </w:r>
    </w:p>
    <w:p>
      <w:pPr>
        <w:spacing w:after="900"/>
      </w:pPr>
      <w:r>
        <w:rPr>
          <w:i/>
          <w:iCs/>
          <w:sz w:val="22"/>
          <w:szCs w:val="22"/>
        </w:rPr>
        <w:t xml:space="preserve">Deloitte internal working material</w:t>
      </w:r>
    </w:p>
    <w:p>
      <w:pPr>
        <w:spacing w:after="90"/>
      </w:pPr>
      <w:r>
        <w:rPr>
          <w:b/>
          <w:bCs/>
          <w:color w:val="9E2A2B"/>
          <w:sz w:val="22"/>
          <w:szCs w:val="22"/>
        </w:rPr>
        <w:t xml:space="preserve">INTERNAL — NOT FOR CLIENT DISTRIBUTION</w:t>
      </w:r>
    </w:p>
    <w:p>
      <w:pPr>
        <w:spacing w:after="100"/>
      </w:pPr>
      <w:r>
        <w:rPr>
          <w:color w:val="666666"/>
          <w:sz w:val="19"/>
          <w:szCs w:val="19"/>
        </w:rPr>
        <w:t xml:space="preserve">The pre-read on page 3 is the only part intended to be sent to the client.</w:t>
      </w:r>
    </w:p>
    <w:p>
      <w:r>
        <w:br w:type="page"/>
      </w:r>
    </w:p>
    <w:p>
      <w:pPr>
        <w:pStyle w:val="Heading1"/>
        <w:spacing w:after="170" w:before="3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70" w:before="320"/>
      </w:pPr>
      <w:r>
        <w:t xml:space="preserve">Session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Session</w:t>
            </w:r>
          </w:p>
        </w:tc>
        <w:tc>
          <w:tcPr>
            <w:tcW w:type="dxa" w:w="6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Cyber GRC working session</w:t>
            </w:r>
          </w:p>
        </w:tc>
      </w:tr>
      <w:tr>
        <w:tc>
          <w:tcPr>
            <w:tcW w:type="dxa" w:w="24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Settle the scope, authority and framework decisions that D4 depends on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Duration</w:t>
            </w:r>
          </w:p>
        </w:tc>
        <w:tc>
          <w:tcPr>
            <w:tcW w:type="dxa" w:w="6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45 minutes</w:t>
            </w:r>
          </w:p>
        </w:tc>
      </w:tr>
      <w:tr>
        <w:tc>
          <w:tcPr>
            <w:tcW w:type="dxa" w:w="24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TMCC attendee</w:t>
            </w:r>
          </w:p>
        </w:tc>
        <w:tc>
          <w:tcPr>
            <w:tcW w:type="dxa" w:w="696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 Cyber GRC ]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Deloitte attendees</w:t>
            </w:r>
          </w:p>
        </w:tc>
        <w:tc>
          <w:tcPr>
            <w:tcW w:type="dxa" w:w="6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 names ]</w:t>
            </w:r>
          </w:p>
        </w:tc>
      </w:tr>
      <w:tr>
        <w:tc>
          <w:tcPr>
            <w:tcW w:type="dxa" w:w="24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 date ]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Notes taken by</w:t>
            </w:r>
          </w:p>
        </w:tc>
        <w:tc>
          <w:tcPr>
            <w:tcW w:type="dxa" w:w="6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[ name ]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30" w:before="250"/>
      </w:pPr>
      <w:r>
        <w:t xml:space="preserve">Time allocation</w:t>
      </w:r>
    </w:p>
    <w:p>
      <w:pPr>
        <w:spacing w:after="140" w:before="0"/>
      </w:pPr>
      <w:r>
        <w:t xml:space="preserve">Forty-five minutes does not cover every question in this pack. Sections A to C are the ones that block drafting; the rest can move to written follow-up without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35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Minutes</w:t>
            </w:r>
          </w:p>
        </w:tc>
        <w:tc>
          <w:tcPr>
            <w:tcW w:type="dxa" w:w="356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Handling if time runs short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Parent policy and authority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 not defer — nothing else settles without it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Scope and applicability</w:t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56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 not defer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Existing draft and prior work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 not defer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36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Framework adoption</w:t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56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 move to written follow-up with the tiering note attached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Exception process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 move to written follow-up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36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Classification and data</w:t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Written follow-up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Roles and ownership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Written follow-up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</w:t>
            </w:r>
          </w:p>
        </w:tc>
        <w:tc>
          <w:tcPr>
            <w:tcW w:type="dxa" w:w="36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Socialization and acceptance</w:t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6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Written follow-up or PM channel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30" w:before="250"/>
      </w:pPr>
      <w:r>
        <w:t xml:space="preserve">Opening — suggested framing</w:t>
      </w:r>
    </w:p>
    <w:p>
      <w:pPr>
        <w:spacing w:after="140" w:before="0"/>
      </w:pPr>
      <w:r>
        <w:t xml:space="preserve">“The SOW asks us to refine your existing standard and align it to the parent-level policy. Before we start drafting, we want to be sure we are building on what you already have rather than beside it. There are a handful of decisions only this group can make, and we would rather surface them now than discover them at review.”</w:t>
      </w:r>
    </w:p>
    <w:p>
      <w:pPr>
        <w:spacing w:after="160"/>
      </w:pPr>
      <w:r>
        <w:rPr>
          <w:i/>
          <w:iCs/>
          <w:color w:val="9E2A2B"/>
        </w:rPr>
        <w:t xml:space="preserve">Do not open with the framework list. It reads as academic and burns the first ten minutes. Lead with authority and scope; frameworks land better once the structural question is settled.</w:t>
      </w:r>
    </w:p>
    <w:p>
      <w:r>
        <w:br w:type="page"/>
      </w:r>
    </w:p>
    <w:p>
      <w:pPr>
        <w:pStyle w:val="Heading1"/>
        <w:spacing w:after="170" w:before="320"/>
      </w:pPr>
      <w:r>
        <w:t xml:space="preserve">Pre-read — To Send in Advance</w:t>
      </w:r>
    </w:p>
    <w:p>
      <w:pPr>
        <w:spacing w:after="140" w:before="0"/>
      </w:pPr>
      <w:r>
        <w:t xml:space="preserve">Send two or three days ahead. The purpose is to let the attendee arrive with answers rather than find them during the session, particularly where a question needs a document lookup.</w:t>
      </w:r>
    </w:p>
    <w:p>
      <w:pPr>
        <w:pStyle w:val="Heading2"/>
        <w:spacing w:after="130" w:before="250"/>
      </w:pPr>
      <w:r>
        <w:t xml:space="preserve">What we would like to cover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Which parent-level AI governance and security policy this standard sits under, and whether alignment to it is mandatory or advisory.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Which parts of the organisation the standard is intended to bind.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current state of the existing draft standard and any feedback already received on it.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Whether any framework has already been adopted at parent or entity level.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How AI security exceptions are handled today, if at all.</w:t>
      </w:r>
    </w:p>
    <w:p>
      <w:pPr>
        <w:pStyle w:val="Heading2"/>
        <w:spacing w:after="130" w:before="250"/>
      </w:pPr>
      <w:r>
        <w:t xml:space="preserve">Documents that would help if available beforehand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Current draft AI security standard, in whatever state it exists.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Parent-organisation AI governance and security policy.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Any existing mapping between parent policy and entity standards.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current exception or deviation process for security standards generally.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Data classification scheme this standard should reference.</w:t>
      </w:r>
    </w:p>
    <w:p>
      <w:pPr>
        <w:spacing w:after="160"/>
      </w:pPr>
      <w:r>
        <w:rPr>
          <w:i/>
          <w:iCs/>
          <w:color w:val="9E2A2B"/>
        </w:rPr>
        <w:t xml:space="preserve">Keep the pre-read to this page. A long question list sent in advance tends to be skimmed, and the specific questions land better in the room.</w:t>
      </w:r>
    </w:p>
    <w:p>
      <w:r>
        <w:br w:type="page"/>
      </w:r>
    </w:p>
    <w:p>
      <w:pPr>
        <w:pStyle w:val="Heading1"/>
        <w:spacing w:after="170" w:before="320"/>
      </w:pPr>
      <w:r>
        <w:t xml:space="preserve">A. Parent Policy and Authority</w:t>
      </w:r>
    </w:p>
    <w:p>
      <w:pPr>
        <w:spacing w:after="140" w:before="0"/>
      </w:pPr>
      <w:r>
        <w:t xml:space="preserve">Highest priority. These answers determine the structure of D4 and whether the entity can make its own decisions on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parent-level policy or standard does this AI security standard sit beneath, and is there more than one?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Determines whether D4 is standalone or an implementation layer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alignment to that policy mandatory, or advisory guidance the entity may adapt?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Determines whether we may state requirements the parent does not carry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Does the parent policy already name a framework the entity inherits — NIST, ISO or otherwise?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If yes, the framework decision is already made and we map rather than choose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Does a mapping between parent policy and entity standards already exist anywhere?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Extend rather than duplicate; avoids rework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Who approves this standard for adoption, and does parent-level sign-off also apply?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Sets the acceptance path and its lead time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Are there parent-level obligations from other jurisdictions that reach this entity — EU AI regulation in particular?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Decides whether European standards move from reference to normative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p>
      <w:pPr>
        <w:pStyle w:val="Heading1"/>
        <w:spacing w:after="170" w:before="320"/>
      </w:pPr>
      <w:r>
        <w:t xml:space="preserve">B. Scope and Applicability</w:t>
      </w:r>
    </w:p>
    <w:p>
      <w:pPr>
        <w:spacing w:after="140" w:before="0"/>
      </w:pPr>
      <w:r>
        <w:t xml:space="preserve">The SOW requires the standard to define applicable businesses and to record what is out of scope because it sits in another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businesses, entities or functions is this standard intended to bind?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Required by the SOW scope activity; feeds the applicable-business table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Are any entities excluded because they operate under a different policy set?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Prevents a scope claim that cannot be enforced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topics should this standard reference rather than restate — access management, vendor risk, data classification, incident response?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Builds the out-of-scope register; prevents duplication findings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customer-facing AI in scope of this standard, or governed separately?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full domain depends on the answer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non-generative machine learning in scope, or excluded?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Sets the boundary of the standard's applicability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B6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Does the standard apply to AI features enabled inside SaaS platforms already in use, or only to systems the organisation builds?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This is where most real exposure sits and is easily left ambiguous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B7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Does it apply to developer tooling — coding assistants and agentic development environments?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Often assumed out of scope by default; worth making explicit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p>
      <w:pPr>
        <w:pStyle w:val="Heading1"/>
        <w:spacing w:after="170" w:before="320"/>
      </w:pPr>
      <w:r>
        <w:t xml:space="preserve">C. Existing Draft and Prior Work</w:t>
      </w:r>
    </w:p>
    <w:p>
      <w:pPr>
        <w:spacing w:after="140" w:before="0"/>
      </w:pPr>
      <w:r>
        <w:t xml:space="preserve">The SOW frames D4 as a refinement of an existing document. These questions establish what that document is and how settled it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state is the existing draft standard in — early outline, complete draft, or previously circulated?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Sets expectations for how much is refinement versus authoring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Has it been socialized before, and what feedback came back?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Prior feedback tells us which sections are contested before we touch them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parts are considered settled and should not be reopened?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Protects goodwill; avoids rewriting agreed material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parts are known to be weak or incomplete?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Directs effort to where it is wanted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 you want D4 delivered as tracked changes against your document, or as a clean draft?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Changes the production method; a refine usually implies redlines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C6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there other AI-related policy or guidance already published internally that this must not contradict?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Avoids a conflict surfacing at review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p>
      <w:pPr>
        <w:pStyle w:val="Heading1"/>
        <w:spacing w:after="170" w:before="320"/>
      </w:pPr>
      <w:r>
        <w:t xml:space="preserve">D. Framework Adoption</w:t>
      </w:r>
    </w:p>
    <w:p>
      <w:pPr>
        <w:spacing w:after="140" w:before="0"/>
      </w:pPr>
      <w:r>
        <w:t xml:space="preserve">Ask only after A3 is answered. If the parent already names a framework, most of this section falls away.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Has the organisation already adopted a framework for AI governance specifically, as opposed to general information security?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Avoids proposing a second anchor alongside an existing one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there an intention to certify against an AI management system standard, or is alignment sufficient?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Certification intent raises the documentation bar considerably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Are you comfortable with the standard citing a small normative set and treating the rest as reference?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Confirms the approach before we present the tiering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any AI framework already in use elsewhere in the group that we should map to for consistency?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Coordination with parallel workstreams using different vocabulary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Does anything in your regulatory environment require a specific framework or attestation?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Financial services obligations may constrain the choice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p>
      <w:pPr>
        <w:pStyle w:val="Heading1"/>
        <w:spacing w:after="170" w:before="320"/>
      </w:pPr>
      <w:r>
        <w:t xml:space="preserve">E. Exception Process</w:t>
      </w:r>
    </w:p>
    <w:p>
      <w:pPr>
        <w:spacing w:after="140" w:before="0"/>
      </w:pPr>
      <w:r>
        <w:t xml:space="preserve">The SOW names the exception process explicitly as part of D4. The strong preference is to extend an existing process rather than create a parallel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there an existing exception or deviation process for security standards generally?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Extending an established process beats inventing one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If so, who approves, at what authority level, and with what maximum duration?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Populates the approval matrix with terms the organisation already accepts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Where is the exception register held, and who reviews accumulated risk across it?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Determines the system of record rather than defining a new one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Have any AI-specific exceptions been granted to date?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Indicates process maturity and surfaces known gaps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Should AI exceptions flow through the existing process, or be tracked separately?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Affects how the D4 section is written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there an appetite for time-boxed exceptions with mandatory re-review, or are standing exceptions the current norm?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principle worth agreeing before it appears in the draft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p>
      <w:pPr>
        <w:pStyle w:val="Heading1"/>
        <w:spacing w:after="170" w:before="320"/>
      </w:pPr>
      <w:r>
        <w:t xml:space="preserve">F. Classification and Data</w:t>
      </w:r>
    </w:p>
    <w:p>
      <w:pPr>
        <w:spacing w:after="140" w:before="0"/>
      </w:pPr>
      <w:r>
        <w:t xml:space="preserve">Short section. The standard should reference existing schemes rather than define its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data classification scheme should the standard reference for input sensitivity?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Prevents inventing a parallel classification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Are there data categories with handling rules that would prohibit AI processing entirely?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Some categories may need a blanket prohibition rather than controls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Does an AI use-case inventory or risk register exist today, and who owns it?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Determines whether the inventory requirement extends something or starts fresh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How is AI risk currently reported to leadership, if at all?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Sets the governance reporting requirement realistically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p>
      <w:pPr>
        <w:pStyle w:val="Heading1"/>
        <w:spacing w:after="170" w:before="320"/>
      </w:pPr>
      <w:r>
        <w:t xml:space="preserve">G. Roles and Ownership</w:t>
      </w:r>
    </w:p>
    <w:p>
      <w:pPr>
        <w:spacing w:after="140" w:before="0"/>
      </w:pPr>
      <w:r>
        <w:t xml:space="preserve">Written follow-up if time runs short, but needed before D4 can name accountabilities.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Who is or will be accountable for AI risk overall?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standard needs a named accountable role, not a placeholder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function performs pre-production security review of AI systems today?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Determines whether the review requirement describes reality or aspiration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there a committee or forum where AI risk decisions are made?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Several governance frameworks expect one; worth naming if it exists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Who would own AI security awareness and training content?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Determines whether training is a control we can require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70" w:before="320"/>
      </w:pPr>
      <w:r>
        <w:t xml:space="preserve">H. Socialization and Acceptance</w:t>
      </w:r>
    </w:p>
    <w:p>
      <w:pPr>
        <w:spacing w:after="140" w:before="0"/>
      </w:pPr>
      <w:r>
        <w:t xml:space="preserve">Process questions. Can be handled through the PM channel rather than in this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00"/>
        <w:gridCol w:w="2900"/>
        <w:gridCol w:w="234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we are asking</w:t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Who must review the draft before it can be considered socialized?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Builds the socialization plan by domain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review window is realistic given stakeholder availability?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Compressed windows produce thin feedback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H3</w:t>
            </w:r>
          </w:p>
        </w:tc>
        <w:tc>
          <w:tcPr>
            <w:tcW w:type="dxa" w:w="3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 you want feedback consolidated by you, or collected directly by us?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Affects the feedback log and turnaround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H4</w:t>
            </w:r>
          </w:p>
        </w:tc>
        <w:tc>
          <w:tcPr>
            <w:tcW w:type="dxa" w:w="3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What does formal acceptance require beyond the deliverable itself?</w:t>
            </w:r>
          </w:p>
        </w:tc>
        <w:tc>
          <w:tcPr>
            <w:tcW w:type="dxa" w:w="29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Avoids surprises at the acceptance gate</w:t>
            </w:r>
          </w:p>
        </w:tc>
        <w:tc>
          <w:tcPr>
            <w:tcW w:type="dxa" w:w="23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r>
        <w:br w:type="page"/>
      </w:r>
    </w:p>
    <w:p>
      <w:pPr>
        <w:pStyle w:val="Heading1"/>
        <w:spacing w:after="170" w:before="320"/>
      </w:pPr>
      <w:r>
        <w:t xml:space="preserve">Decisions Captured</w:t>
      </w:r>
    </w:p>
    <w:p>
      <w:pPr>
        <w:spacing w:after="140" w:before="0"/>
      </w:pPr>
      <w:r>
        <w:t xml:space="preserve">Complete during or immediately after the session. Anything unresolved becomes a follow-up with a named owner rather than an open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300"/>
        <w:gridCol w:w="1800"/>
        <w:gridCol w:w="1500"/>
        <w:gridCol w:w="2220"/>
      </w:tblGrid>
      <w:tr>
        <w:trPr>
          <w:tblHeader/>
        </w:trPr>
        <w:tc>
          <w:tcPr>
            <w:tcW w:type="dxa" w:w="5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8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15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Decided by</w:t>
            </w:r>
          </w:p>
        </w:tc>
        <w:tc>
          <w:tcPr>
            <w:tcW w:type="dxa" w:w="22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Follow-up</w:t>
            </w:r>
          </w:p>
        </w:tc>
      </w:tr>
      <w:tr>
        <w:tc>
          <w:tcPr>
            <w:tcW w:type="dxa" w:w="5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Standalone standard or implementation layer beneath parent policy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Parent alignment mandatory or advisory</w:t>
            </w:r>
          </w:p>
        </w:tc>
        <w:tc>
          <w:tcPr>
            <w:tcW w:type="dxa" w:w="18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Normative framework set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Delivery format — tracked changes or clean draft</w:t>
            </w:r>
          </w:p>
        </w:tc>
        <w:tc>
          <w:tcPr>
            <w:tcW w:type="dxa" w:w="18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Businesses in scope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Customer-facing AI in or out of scope</w:t>
            </w:r>
          </w:p>
        </w:tc>
        <w:tc>
          <w:tcPr>
            <w:tcW w:type="dxa" w:w="18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Exception process — extend existing or create new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classification scheme referenced</w:t>
            </w:r>
          </w:p>
        </w:tc>
        <w:tc>
          <w:tcPr>
            <w:tcW w:type="dxa" w:w="18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30" w:before="250"/>
      </w:pPr>
      <w:r>
        <w:t xml:space="preserve">Follow-up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000"/>
        <w:gridCol w:w="2000"/>
        <w:gridCol w:w="1400"/>
        <w:gridCol w:w="1420"/>
      </w:tblGrid>
      <w:tr>
        <w:trPr>
          <w:tblHeader/>
        </w:trPr>
        <w:tc>
          <w:tcPr>
            <w:tcW w:type="dxa" w:w="54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1420"/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shd w:fill="EEF1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30" w:before="250"/>
      </w:pPr>
      <w:r>
        <w:t xml:space="preserve">Closing the session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Read back the decisions captured, not the discussion. Confirmation in the room is worth more than a note circulated afterwards.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Name what each unanswered question blocks, so the follow-up carries its own urgency.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the document requests before leaving — the existing draft and the parent policy are the two that matter most.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Agree who is reviewing which domains, so the socialization plan does not need a separate conversation later.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Internal 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</w:pPr>
    <w:r>
      <w:rPr>
        <w:color w:val="888888"/>
        <w:sz w:val="16"/>
        <w:szCs w:val="16"/>
      </w:rPr>
      <w:t xml:space="preserve">Cyber GRC Working Session — question set — Deloitte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50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10" w:before="200"/>
    </w:pPr>
    <w:rPr>
      <w:rFonts w:ascii="Calibri" w:cs="Calibri" w:eastAsia="Calibri" w:hAnsi="Calibri"/>
      <w:b/>
      <w:bCs/>
      <w:color w:val="444444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2026-09-18T13:30:18.271Z</dcterms:created>
  <dcterms:modified xsi:type="dcterms:W3CDTF">2026-09-18T13:30:18.279Z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