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E06EF0" w14:textId="77777777" w:rsidR="007F1859" w:rsidRDefault="007F1859" w:rsidP="007F1859">
      <w:pPr>
        <w:pStyle w:val="Heading2"/>
        <w:rPr>
          <w:b/>
        </w:rPr>
      </w:pPr>
    </w:p>
    <w:p w14:paraId="7197CAB5" w14:textId="2B0CB712" w:rsidR="005E1075" w:rsidRPr="007F1859" w:rsidRDefault="007F1859" w:rsidP="007F1859">
      <w:pPr>
        <w:pStyle w:val="Heading2"/>
        <w:ind w:hanging="540"/>
        <w:rPr>
          <w:b/>
        </w:rPr>
      </w:pPr>
      <w:r>
        <w:rPr>
          <w:b/>
        </w:rPr>
        <w:t>1.0</w:t>
      </w:r>
      <w:r>
        <w:rPr>
          <w:b/>
        </w:rPr>
        <w:tab/>
      </w:r>
      <w:r w:rsidR="006E4101" w:rsidRPr="007F1859">
        <w:rPr>
          <w:b/>
        </w:rPr>
        <w:t>Reagent preparation</w:t>
      </w:r>
    </w:p>
    <w:p w14:paraId="3775DDCD" w14:textId="11835E47" w:rsidR="006E4101" w:rsidRPr="005E1075" w:rsidRDefault="005E1075" w:rsidP="007F1859">
      <w:pPr>
        <w:ind w:left="-450"/>
        <w:rPr>
          <w:b/>
        </w:rPr>
      </w:pPr>
      <w:r>
        <w:rPr>
          <w:b/>
        </w:rPr>
        <w:br/>
      </w:r>
      <w:r w:rsidR="007F1859">
        <w:rPr>
          <w:b/>
        </w:rPr>
        <w:t>1.1</w:t>
      </w:r>
      <w:r w:rsidR="007F1859">
        <w:rPr>
          <w:b/>
        </w:rPr>
        <w:tab/>
      </w:r>
      <w:r w:rsidR="00232192" w:rsidRPr="005E1075">
        <w:rPr>
          <w:b/>
        </w:rPr>
        <w:t>Ammonium molybdate</w:t>
      </w:r>
      <w:r w:rsidR="007F1859">
        <w:rPr>
          <w:b/>
        </w:rPr>
        <w:t xml:space="preserve"> solution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1090"/>
        <w:gridCol w:w="1099"/>
        <w:gridCol w:w="1099"/>
      </w:tblGrid>
      <w:tr w:rsidR="00144B12" w14:paraId="54E612A4" w14:textId="446EA89C" w:rsidTr="007F1859">
        <w:tc>
          <w:tcPr>
            <w:tcW w:w="3116" w:type="dxa"/>
          </w:tcPr>
          <w:p w14:paraId="63136826" w14:textId="7F1CAC1D" w:rsidR="00144B12" w:rsidRDefault="00144B12">
            <w:r>
              <w:t>Ammonium molybdate</w:t>
            </w:r>
          </w:p>
        </w:tc>
        <w:tc>
          <w:tcPr>
            <w:tcW w:w="1090" w:type="dxa"/>
          </w:tcPr>
          <w:p w14:paraId="7A8F54EA" w14:textId="5BA9CCA6" w:rsidR="00144B12" w:rsidRDefault="00144B12">
            <w:r>
              <w:t>1.8 g</w:t>
            </w:r>
          </w:p>
        </w:tc>
        <w:tc>
          <w:tcPr>
            <w:tcW w:w="1099" w:type="dxa"/>
          </w:tcPr>
          <w:p w14:paraId="67B9906A" w14:textId="0D6A3661" w:rsidR="00144B12" w:rsidRDefault="00144B12">
            <w:r>
              <w:t>0.9 g</w:t>
            </w:r>
          </w:p>
        </w:tc>
        <w:tc>
          <w:tcPr>
            <w:tcW w:w="1099" w:type="dxa"/>
          </w:tcPr>
          <w:p w14:paraId="644753AB" w14:textId="7CA4733E" w:rsidR="00144B12" w:rsidRDefault="007F1859">
            <w:r>
              <w:t>0.45 g</w:t>
            </w:r>
          </w:p>
        </w:tc>
      </w:tr>
      <w:tr w:rsidR="00144B12" w14:paraId="3B82DD5B" w14:textId="60C49E97" w:rsidTr="007F1859">
        <w:tc>
          <w:tcPr>
            <w:tcW w:w="3116" w:type="dxa"/>
          </w:tcPr>
          <w:p w14:paraId="1965F925" w14:textId="0C001B57" w:rsidR="00144B12" w:rsidRDefault="00144B12">
            <w:r>
              <w:t>Sulfuric acid</w:t>
            </w:r>
          </w:p>
        </w:tc>
        <w:tc>
          <w:tcPr>
            <w:tcW w:w="1090" w:type="dxa"/>
          </w:tcPr>
          <w:p w14:paraId="7813B291" w14:textId="1D216F25" w:rsidR="00144B12" w:rsidRDefault="00144B12">
            <w:r>
              <w:t>22.3 mL</w:t>
            </w:r>
          </w:p>
        </w:tc>
        <w:tc>
          <w:tcPr>
            <w:tcW w:w="1099" w:type="dxa"/>
          </w:tcPr>
          <w:p w14:paraId="26B6525F" w14:textId="3EB4D34C" w:rsidR="00144B12" w:rsidRDefault="00144B12">
            <w:r>
              <w:t>11.15 mL</w:t>
            </w:r>
          </w:p>
        </w:tc>
        <w:tc>
          <w:tcPr>
            <w:tcW w:w="1099" w:type="dxa"/>
          </w:tcPr>
          <w:p w14:paraId="7204F825" w14:textId="4BE60FDA" w:rsidR="00144B12" w:rsidRDefault="007F1859">
            <w:r>
              <w:t>5.575 mL</w:t>
            </w:r>
          </w:p>
        </w:tc>
      </w:tr>
      <w:tr w:rsidR="00144B12" w14:paraId="7D900769" w14:textId="5AEA07D0" w:rsidTr="007F1859">
        <w:tc>
          <w:tcPr>
            <w:tcW w:w="3116" w:type="dxa"/>
          </w:tcPr>
          <w:p w14:paraId="2672B38B" w14:textId="7B258FAD" w:rsidR="00144B12" w:rsidRDefault="00144B12">
            <w:r>
              <w:t>Antimony potassium tartrate</w:t>
            </w:r>
          </w:p>
        </w:tc>
        <w:tc>
          <w:tcPr>
            <w:tcW w:w="1090" w:type="dxa"/>
          </w:tcPr>
          <w:p w14:paraId="195E99EA" w14:textId="26B1A3C0" w:rsidR="00144B12" w:rsidRDefault="00144B12">
            <w:r>
              <w:t>0.05 g</w:t>
            </w:r>
          </w:p>
        </w:tc>
        <w:tc>
          <w:tcPr>
            <w:tcW w:w="1099" w:type="dxa"/>
          </w:tcPr>
          <w:p w14:paraId="5D43653F" w14:textId="3A1ADCF5" w:rsidR="00144B12" w:rsidRDefault="00144B12">
            <w:r>
              <w:t>0.025 g</w:t>
            </w:r>
          </w:p>
        </w:tc>
        <w:tc>
          <w:tcPr>
            <w:tcW w:w="1099" w:type="dxa"/>
          </w:tcPr>
          <w:p w14:paraId="5F3A9F89" w14:textId="5F7A3263" w:rsidR="00144B12" w:rsidRDefault="007F1859">
            <w:r>
              <w:t>0.0125 g</w:t>
            </w:r>
          </w:p>
        </w:tc>
      </w:tr>
      <w:tr w:rsidR="00144B12" w14:paraId="3BF8B8E5" w14:textId="663ECE92" w:rsidTr="007F1859">
        <w:tc>
          <w:tcPr>
            <w:tcW w:w="3116" w:type="dxa"/>
          </w:tcPr>
          <w:p w14:paraId="19794C12" w14:textId="65303434" w:rsidR="00144B12" w:rsidRDefault="00144B12">
            <w:r>
              <w:t>Sodium dodecyl sulfate</w:t>
            </w:r>
          </w:p>
        </w:tc>
        <w:tc>
          <w:tcPr>
            <w:tcW w:w="1090" w:type="dxa"/>
          </w:tcPr>
          <w:p w14:paraId="5D680B01" w14:textId="07E3D744" w:rsidR="00144B12" w:rsidRDefault="00144B12">
            <w:r>
              <w:t>2 g</w:t>
            </w:r>
          </w:p>
        </w:tc>
        <w:tc>
          <w:tcPr>
            <w:tcW w:w="1099" w:type="dxa"/>
          </w:tcPr>
          <w:p w14:paraId="7B7B159A" w14:textId="339B6E62" w:rsidR="00144B12" w:rsidRDefault="00144B12">
            <w:r>
              <w:t>1 g</w:t>
            </w:r>
          </w:p>
        </w:tc>
        <w:tc>
          <w:tcPr>
            <w:tcW w:w="1099" w:type="dxa"/>
          </w:tcPr>
          <w:p w14:paraId="12879454" w14:textId="6DEBE2F1" w:rsidR="00144B12" w:rsidRDefault="007F1859">
            <w:r>
              <w:t>0.5 g</w:t>
            </w:r>
          </w:p>
        </w:tc>
      </w:tr>
      <w:tr w:rsidR="00144B12" w14:paraId="3DB8DD73" w14:textId="292C4166" w:rsidTr="007F1859">
        <w:tc>
          <w:tcPr>
            <w:tcW w:w="3116" w:type="dxa"/>
          </w:tcPr>
          <w:p w14:paraId="4FD9FE16" w14:textId="054FA641" w:rsidR="00144B12" w:rsidRDefault="00144B12">
            <w:r>
              <w:t>DI water</w:t>
            </w:r>
          </w:p>
        </w:tc>
        <w:tc>
          <w:tcPr>
            <w:tcW w:w="1090" w:type="dxa"/>
          </w:tcPr>
          <w:p w14:paraId="78F5641C" w14:textId="2B483D73" w:rsidR="00144B12" w:rsidRDefault="00144B12">
            <w:r>
              <w:t>1000 mL</w:t>
            </w:r>
          </w:p>
        </w:tc>
        <w:tc>
          <w:tcPr>
            <w:tcW w:w="1099" w:type="dxa"/>
          </w:tcPr>
          <w:p w14:paraId="790E895E" w14:textId="6CE67519" w:rsidR="00144B12" w:rsidRDefault="00144B12">
            <w:r>
              <w:t>500 mL</w:t>
            </w:r>
          </w:p>
        </w:tc>
        <w:tc>
          <w:tcPr>
            <w:tcW w:w="1099" w:type="dxa"/>
          </w:tcPr>
          <w:p w14:paraId="21D5B03C" w14:textId="75107BF8" w:rsidR="00144B12" w:rsidRDefault="00144B12">
            <w:r>
              <w:t>250 mL</w:t>
            </w:r>
          </w:p>
        </w:tc>
      </w:tr>
    </w:tbl>
    <w:p w14:paraId="24ECA5DD" w14:textId="77777777" w:rsidR="00232192" w:rsidRDefault="00232192"/>
    <w:p w14:paraId="18184D9F" w14:textId="174FD243" w:rsidR="00232192" w:rsidRPr="005E1075" w:rsidRDefault="007F1859" w:rsidP="007F1859">
      <w:pPr>
        <w:ind w:left="-450"/>
        <w:rPr>
          <w:b/>
        </w:rPr>
      </w:pPr>
      <w:r>
        <w:rPr>
          <w:b/>
        </w:rPr>
        <w:t>1.2</w:t>
      </w:r>
      <w:r>
        <w:rPr>
          <w:b/>
        </w:rPr>
        <w:tab/>
      </w:r>
      <w:r w:rsidR="00232192" w:rsidRPr="005E1075">
        <w:rPr>
          <w:b/>
        </w:rPr>
        <w:t>Ascorbic acid</w:t>
      </w:r>
      <w:r>
        <w:rPr>
          <w:b/>
        </w:rPr>
        <w:t xml:space="preserve"> solution</w:t>
      </w:r>
      <w:r w:rsidR="00144B12">
        <w:rPr>
          <w:b/>
        </w:rPr>
        <w:tab/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1090"/>
        <w:gridCol w:w="1099"/>
        <w:gridCol w:w="1099"/>
      </w:tblGrid>
      <w:tr w:rsidR="005E1075" w14:paraId="2BCFF00D" w14:textId="77777777" w:rsidTr="007F1859">
        <w:tc>
          <w:tcPr>
            <w:tcW w:w="3116" w:type="dxa"/>
          </w:tcPr>
          <w:p w14:paraId="114BF1CA" w14:textId="093242E3" w:rsidR="005E1075" w:rsidRDefault="005E1075" w:rsidP="005E1075">
            <w:r>
              <w:t>Ascorbic acid</w:t>
            </w:r>
          </w:p>
        </w:tc>
        <w:tc>
          <w:tcPr>
            <w:tcW w:w="1090" w:type="dxa"/>
          </w:tcPr>
          <w:p w14:paraId="29879A3E" w14:textId="5F7D76BE" w:rsidR="005E1075" w:rsidRDefault="00144B12" w:rsidP="009868FD">
            <w:r>
              <w:t>15 g</w:t>
            </w:r>
          </w:p>
        </w:tc>
        <w:tc>
          <w:tcPr>
            <w:tcW w:w="1099" w:type="dxa"/>
          </w:tcPr>
          <w:p w14:paraId="5234F76B" w14:textId="4B11153D" w:rsidR="005E1075" w:rsidRDefault="00144B12" w:rsidP="009868FD">
            <w:r>
              <w:t>7.5 g</w:t>
            </w:r>
          </w:p>
        </w:tc>
        <w:tc>
          <w:tcPr>
            <w:tcW w:w="1099" w:type="dxa"/>
          </w:tcPr>
          <w:p w14:paraId="550494DE" w14:textId="6A3E26F6" w:rsidR="005E1075" w:rsidRDefault="007F1859" w:rsidP="009868FD">
            <w:r>
              <w:t>3.75</w:t>
            </w:r>
            <w:r w:rsidR="00144B12">
              <w:t xml:space="preserve"> g</w:t>
            </w:r>
          </w:p>
        </w:tc>
      </w:tr>
      <w:tr w:rsidR="005E1075" w14:paraId="7567BCCA" w14:textId="77777777" w:rsidTr="007F1859">
        <w:tc>
          <w:tcPr>
            <w:tcW w:w="3116" w:type="dxa"/>
          </w:tcPr>
          <w:p w14:paraId="6338EFAC" w14:textId="77777777" w:rsidR="005E1075" w:rsidRDefault="005E1075" w:rsidP="009868FD">
            <w:r>
              <w:t>DI water</w:t>
            </w:r>
          </w:p>
        </w:tc>
        <w:tc>
          <w:tcPr>
            <w:tcW w:w="1090" w:type="dxa"/>
          </w:tcPr>
          <w:p w14:paraId="1A4F883B" w14:textId="1D8DC0C4" w:rsidR="005E1075" w:rsidRDefault="00144B12" w:rsidP="009868FD">
            <w:r>
              <w:t>1000 mL</w:t>
            </w:r>
          </w:p>
        </w:tc>
        <w:tc>
          <w:tcPr>
            <w:tcW w:w="1099" w:type="dxa"/>
          </w:tcPr>
          <w:p w14:paraId="782A04BD" w14:textId="745322D7" w:rsidR="005E1075" w:rsidRDefault="00144B12" w:rsidP="009868FD">
            <w:r>
              <w:t>500 mL</w:t>
            </w:r>
          </w:p>
        </w:tc>
        <w:tc>
          <w:tcPr>
            <w:tcW w:w="1099" w:type="dxa"/>
          </w:tcPr>
          <w:p w14:paraId="7F04C789" w14:textId="66E39729" w:rsidR="005E1075" w:rsidRDefault="00144B12" w:rsidP="009868FD">
            <w:r>
              <w:t>250 mL</w:t>
            </w:r>
          </w:p>
        </w:tc>
      </w:tr>
    </w:tbl>
    <w:p w14:paraId="7E066880" w14:textId="77777777" w:rsidR="00232192" w:rsidRDefault="00232192"/>
    <w:p w14:paraId="3EA39C7E" w14:textId="74D2B1A2" w:rsidR="00232192" w:rsidRPr="005E1075" w:rsidRDefault="007F1859" w:rsidP="007F1859">
      <w:pPr>
        <w:ind w:left="-450"/>
        <w:rPr>
          <w:b/>
        </w:rPr>
      </w:pPr>
      <w:r>
        <w:rPr>
          <w:b/>
        </w:rPr>
        <w:t>1.3</w:t>
      </w:r>
      <w:r>
        <w:rPr>
          <w:b/>
        </w:rPr>
        <w:tab/>
      </w:r>
      <w:r w:rsidR="005E1075" w:rsidRPr="005E1075">
        <w:rPr>
          <w:b/>
        </w:rPr>
        <w:t>S</w:t>
      </w:r>
      <w:r w:rsidR="00232192" w:rsidRPr="005E1075">
        <w:rPr>
          <w:b/>
        </w:rPr>
        <w:t>DS solution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1090"/>
        <w:gridCol w:w="1099"/>
        <w:gridCol w:w="1099"/>
      </w:tblGrid>
      <w:tr w:rsidR="005E1075" w14:paraId="668F043A" w14:textId="6548809B" w:rsidTr="007F1859">
        <w:tc>
          <w:tcPr>
            <w:tcW w:w="3116" w:type="dxa"/>
          </w:tcPr>
          <w:p w14:paraId="5B16BBCC" w14:textId="77777777" w:rsidR="005E1075" w:rsidRDefault="005E1075" w:rsidP="009868FD">
            <w:r>
              <w:t>Sodium dodecyl sulfate</w:t>
            </w:r>
          </w:p>
        </w:tc>
        <w:tc>
          <w:tcPr>
            <w:tcW w:w="1090" w:type="dxa"/>
          </w:tcPr>
          <w:p w14:paraId="122F5B40" w14:textId="77777777" w:rsidR="005E1075" w:rsidRDefault="005E1075" w:rsidP="009868FD">
            <w:r>
              <w:t>2 g</w:t>
            </w:r>
          </w:p>
        </w:tc>
        <w:tc>
          <w:tcPr>
            <w:tcW w:w="1099" w:type="dxa"/>
          </w:tcPr>
          <w:p w14:paraId="3DCC6D6F" w14:textId="77777777" w:rsidR="005E1075" w:rsidRDefault="005E1075" w:rsidP="009868FD">
            <w:r>
              <w:t>1 g</w:t>
            </w:r>
          </w:p>
        </w:tc>
        <w:tc>
          <w:tcPr>
            <w:tcW w:w="1099" w:type="dxa"/>
          </w:tcPr>
          <w:p w14:paraId="297AB6D7" w14:textId="73A80F90" w:rsidR="005E1075" w:rsidRDefault="005E1075" w:rsidP="009868FD">
            <w:r>
              <w:t>0.5 g</w:t>
            </w:r>
          </w:p>
        </w:tc>
      </w:tr>
      <w:tr w:rsidR="005E1075" w14:paraId="3CEA5A98" w14:textId="63C52B99" w:rsidTr="007F1859">
        <w:tc>
          <w:tcPr>
            <w:tcW w:w="3116" w:type="dxa"/>
          </w:tcPr>
          <w:p w14:paraId="17A21B29" w14:textId="77777777" w:rsidR="005E1075" w:rsidRDefault="005E1075" w:rsidP="009868FD">
            <w:r>
              <w:t>DI water</w:t>
            </w:r>
          </w:p>
        </w:tc>
        <w:tc>
          <w:tcPr>
            <w:tcW w:w="1090" w:type="dxa"/>
          </w:tcPr>
          <w:p w14:paraId="40F8B190" w14:textId="77777777" w:rsidR="005E1075" w:rsidRDefault="005E1075" w:rsidP="009868FD">
            <w:r>
              <w:t>1000 mL</w:t>
            </w:r>
          </w:p>
        </w:tc>
        <w:tc>
          <w:tcPr>
            <w:tcW w:w="1099" w:type="dxa"/>
          </w:tcPr>
          <w:p w14:paraId="1FC0A799" w14:textId="77777777" w:rsidR="005E1075" w:rsidRDefault="005E1075" w:rsidP="009868FD">
            <w:r>
              <w:t>500 mL</w:t>
            </w:r>
          </w:p>
        </w:tc>
        <w:tc>
          <w:tcPr>
            <w:tcW w:w="1099" w:type="dxa"/>
          </w:tcPr>
          <w:p w14:paraId="1E267017" w14:textId="116A05DF" w:rsidR="005E1075" w:rsidRDefault="005E1075" w:rsidP="009868FD">
            <w:r>
              <w:t>250 mL</w:t>
            </w:r>
          </w:p>
        </w:tc>
      </w:tr>
    </w:tbl>
    <w:p w14:paraId="65C862A1" w14:textId="43A6DE39" w:rsidR="00232192" w:rsidRDefault="00232192"/>
    <w:p w14:paraId="48C73CB0" w14:textId="62E399D2" w:rsidR="007F1859" w:rsidRPr="007F1859" w:rsidRDefault="007F1859" w:rsidP="007F1859">
      <w:pPr>
        <w:ind w:left="-450"/>
        <w:rPr>
          <w:b/>
        </w:rPr>
      </w:pPr>
      <w:r w:rsidRPr="007F1859">
        <w:rPr>
          <w:b/>
        </w:rPr>
        <w:t>1.4</w:t>
      </w:r>
      <w:r w:rsidRPr="007F1859">
        <w:rPr>
          <w:b/>
        </w:rPr>
        <w:tab/>
        <w:t>Standards</w:t>
      </w:r>
      <w:r>
        <w:rPr>
          <w:b/>
        </w:rPr>
        <w:t>, blanks and check samples</w:t>
      </w:r>
    </w:p>
    <w:p w14:paraId="30374B1B" w14:textId="448C1578" w:rsidR="007F1859" w:rsidRDefault="007F1859" w:rsidP="007F1859">
      <w:pPr>
        <w:spacing w:after="0"/>
        <w:ind w:hanging="360"/>
        <w:contextualSpacing/>
      </w:pPr>
      <w:r>
        <w:t>-</w:t>
      </w:r>
      <w:r>
        <w:tab/>
      </w:r>
      <w:r w:rsidR="00232192">
        <w:t>Prepare standards in the 0.01 – 6 ppm range</w:t>
      </w:r>
      <w:r>
        <w:t xml:space="preserve"> using KH</w:t>
      </w:r>
      <w:r w:rsidRPr="007F1859">
        <w:rPr>
          <w:vertAlign w:val="subscript"/>
        </w:rPr>
        <w:t>2</w:t>
      </w:r>
      <w:r>
        <w:t>PO</w:t>
      </w:r>
      <w:r w:rsidRPr="007F1859">
        <w:rPr>
          <w:vertAlign w:val="subscript"/>
        </w:rPr>
        <w:t>4</w:t>
      </w:r>
      <w:r w:rsidR="00232192">
        <w:t>.</w:t>
      </w:r>
      <w:r w:rsidR="007F1770">
        <w:t xml:space="preserve"> </w:t>
      </w:r>
      <w:r w:rsidR="007F1770">
        <w:t>There is room for 10 standards.</w:t>
      </w:r>
    </w:p>
    <w:p w14:paraId="3922ECEE" w14:textId="69AFF8CC" w:rsidR="007F1859" w:rsidRDefault="007F1859" w:rsidP="007F1859">
      <w:pPr>
        <w:spacing w:after="0"/>
        <w:ind w:hanging="360"/>
        <w:contextualSpacing/>
      </w:pPr>
      <w:r>
        <w:t>-</w:t>
      </w:r>
      <w:r>
        <w:tab/>
        <w:t>Prepare a blank using just MilliQ water.</w:t>
      </w:r>
      <w:r w:rsidR="007F1770">
        <w:t xml:space="preserve"> Run the blank as the first standard, as well as a sample.</w:t>
      </w:r>
    </w:p>
    <w:p w14:paraId="483087D3" w14:textId="5254BFDC" w:rsidR="007F1859" w:rsidRDefault="007F1859" w:rsidP="007F1859">
      <w:pPr>
        <w:ind w:hanging="360"/>
      </w:pPr>
      <w:r>
        <w:t>-</w:t>
      </w:r>
      <w:r>
        <w:tab/>
        <w:t>Prepare a check sample using H</w:t>
      </w:r>
      <w:r w:rsidRPr="007F1859">
        <w:rPr>
          <w:vertAlign w:val="subscript"/>
        </w:rPr>
        <w:t>3</w:t>
      </w:r>
      <w:r>
        <w:t>PO</w:t>
      </w:r>
      <w:r w:rsidRPr="007F1859">
        <w:rPr>
          <w:vertAlign w:val="subscript"/>
        </w:rPr>
        <w:t>4</w:t>
      </w:r>
      <w:r>
        <w:t xml:space="preserve"> CRM.</w:t>
      </w:r>
    </w:p>
    <w:p w14:paraId="25F482B0" w14:textId="77777777" w:rsidR="007F1859" w:rsidRDefault="007F1859" w:rsidP="005E1075">
      <w:pPr>
        <w:pStyle w:val="Heading2"/>
      </w:pPr>
    </w:p>
    <w:p w14:paraId="64A579B9" w14:textId="67E4C7EC" w:rsidR="00A47536" w:rsidRDefault="007F1859" w:rsidP="007F1859">
      <w:pPr>
        <w:pStyle w:val="Heading2"/>
        <w:tabs>
          <w:tab w:val="left" w:pos="0"/>
        </w:tabs>
        <w:ind w:hanging="547"/>
        <w:rPr>
          <w:b/>
        </w:rPr>
      </w:pPr>
      <w:r w:rsidRPr="007F1859">
        <w:rPr>
          <w:b/>
        </w:rPr>
        <w:t>2.0</w:t>
      </w:r>
      <w:r w:rsidRPr="007F1859">
        <w:rPr>
          <w:b/>
        </w:rPr>
        <w:tab/>
      </w:r>
      <w:r w:rsidR="006E4101" w:rsidRPr="007F1859">
        <w:rPr>
          <w:b/>
        </w:rPr>
        <w:t>Starting the machine</w:t>
      </w:r>
    </w:p>
    <w:p w14:paraId="2541C9BB" w14:textId="77777777" w:rsidR="007F1859" w:rsidRPr="007F1859" w:rsidRDefault="007F1859" w:rsidP="007F1859">
      <w:pPr>
        <w:spacing w:after="0"/>
      </w:pPr>
    </w:p>
    <w:p w14:paraId="3B3BA14C" w14:textId="3D0A75B8" w:rsidR="006E4101" w:rsidRDefault="0054466D" w:rsidP="003B1D47">
      <w:pPr>
        <w:pStyle w:val="ListParagraph"/>
        <w:numPr>
          <w:ilvl w:val="0"/>
          <w:numId w:val="2"/>
        </w:numPr>
        <w:ind w:left="0"/>
      </w:pPr>
      <w:r>
        <w:t>Turn black power bar at the back of the instrument on.</w:t>
      </w:r>
    </w:p>
    <w:p w14:paraId="33835159" w14:textId="1EE897CF" w:rsidR="0054466D" w:rsidRDefault="0054466D" w:rsidP="003B1D47">
      <w:pPr>
        <w:pStyle w:val="ListParagraph"/>
        <w:numPr>
          <w:ilvl w:val="0"/>
          <w:numId w:val="2"/>
        </w:numPr>
        <w:ind w:left="0"/>
      </w:pPr>
      <w:r>
        <w:t>Remove dust covers</w:t>
      </w:r>
      <w:r w:rsidR="007F1770">
        <w:t>.</w:t>
      </w:r>
    </w:p>
    <w:p w14:paraId="5552EAE9" w14:textId="38B3A386" w:rsidR="0054466D" w:rsidRDefault="0054466D" w:rsidP="003B1D47">
      <w:pPr>
        <w:pStyle w:val="ListParagraph"/>
        <w:numPr>
          <w:ilvl w:val="0"/>
          <w:numId w:val="2"/>
        </w:numPr>
        <w:ind w:left="0"/>
      </w:pPr>
      <w:r>
        <w:t>Inspect tubing for signs of damage or dirt. Replace any tubing if needed.</w:t>
      </w:r>
    </w:p>
    <w:p w14:paraId="65DED2BA" w14:textId="290D9D55" w:rsidR="0054466D" w:rsidRDefault="0054466D" w:rsidP="003B1D47">
      <w:pPr>
        <w:pStyle w:val="ListParagraph"/>
        <w:numPr>
          <w:ilvl w:val="0"/>
          <w:numId w:val="2"/>
        </w:numPr>
        <w:ind w:left="0"/>
      </w:pPr>
      <w:r>
        <w:t xml:space="preserve">Place each </w:t>
      </w:r>
      <w:r w:rsidR="007F1770">
        <w:t>pump tube</w:t>
      </w:r>
      <w:r>
        <w:t xml:space="preserve"> in its </w:t>
      </w:r>
      <w:r w:rsidR="007F1770">
        <w:t>respective</w:t>
      </w:r>
      <w:r>
        <w:t xml:space="preserve"> solution. See marks on the s</w:t>
      </w:r>
      <w:r w:rsidR="007F1770">
        <w:t>ampling lines, as well as Figure 1</w:t>
      </w:r>
      <w:r>
        <w:t xml:space="preserve"> </w:t>
      </w:r>
      <w:r w:rsidR="007F1770">
        <w:t>in the figures section.</w:t>
      </w:r>
    </w:p>
    <w:p w14:paraId="24A35556" w14:textId="21E46728" w:rsidR="007F1770" w:rsidRDefault="007F1770" w:rsidP="003B1D47">
      <w:pPr>
        <w:pStyle w:val="ListParagraph"/>
        <w:numPr>
          <w:ilvl w:val="0"/>
          <w:numId w:val="2"/>
        </w:numPr>
        <w:ind w:left="0"/>
      </w:pPr>
      <w:r>
        <w:t>Tighten the tubes, and make sure they are parallel to one another.</w:t>
      </w:r>
    </w:p>
    <w:p w14:paraId="65F804CC" w14:textId="40854216" w:rsidR="0054466D" w:rsidRDefault="0054466D" w:rsidP="003B1D47">
      <w:pPr>
        <w:pStyle w:val="ListParagraph"/>
        <w:numPr>
          <w:ilvl w:val="0"/>
          <w:numId w:val="2"/>
        </w:numPr>
        <w:ind w:left="0"/>
      </w:pPr>
      <w:r>
        <w:t>Attach the platen.</w:t>
      </w:r>
    </w:p>
    <w:p w14:paraId="4CCF2FD3" w14:textId="7650CF63" w:rsidR="007F1770" w:rsidRDefault="007F1770" w:rsidP="007F1770">
      <w:pPr>
        <w:pStyle w:val="ListParagraph"/>
        <w:numPr>
          <w:ilvl w:val="0"/>
          <w:numId w:val="2"/>
        </w:numPr>
        <w:ind w:left="0"/>
      </w:pPr>
      <w:r>
        <w:t xml:space="preserve">Turn on the computer </w:t>
      </w:r>
      <w:r>
        <w:t>(</w:t>
      </w:r>
      <w:r>
        <w:t>and fill in the log book</w:t>
      </w:r>
      <w:r>
        <w:t>)</w:t>
      </w:r>
      <w:r>
        <w:t>.</w:t>
      </w:r>
    </w:p>
    <w:p w14:paraId="436A8619" w14:textId="77777777" w:rsidR="007F1770" w:rsidRDefault="007F1770" w:rsidP="007F1770">
      <w:pPr>
        <w:pStyle w:val="ListParagraph"/>
        <w:numPr>
          <w:ilvl w:val="0"/>
          <w:numId w:val="2"/>
        </w:numPr>
        <w:ind w:left="0"/>
      </w:pPr>
      <w:r>
        <w:t>Open the AACE6.10 software.</w:t>
      </w:r>
    </w:p>
    <w:p w14:paraId="0D0C1C3C" w14:textId="228F18BF" w:rsidR="007F1770" w:rsidRDefault="00677D8B" w:rsidP="003B1D47">
      <w:pPr>
        <w:pStyle w:val="ListParagraph"/>
        <w:numPr>
          <w:ilvl w:val="0"/>
          <w:numId w:val="2"/>
        </w:numPr>
        <w:ind w:left="0"/>
      </w:pPr>
      <w:r>
        <w:t>Start charting. (Previous run is ok for now).</w:t>
      </w:r>
    </w:p>
    <w:p w14:paraId="2394F578" w14:textId="6CFF68D5" w:rsidR="0054466D" w:rsidRDefault="0054466D" w:rsidP="003B1D47">
      <w:pPr>
        <w:pStyle w:val="ListParagraph"/>
        <w:numPr>
          <w:ilvl w:val="0"/>
          <w:numId w:val="2"/>
        </w:numPr>
        <w:ind w:left="0"/>
      </w:pPr>
      <w:r>
        <w:t xml:space="preserve">Start the pump by hitting the red button. Let solutions flow through the system for </w:t>
      </w:r>
      <w:r w:rsidRPr="00677D8B">
        <w:t>about 10 mins.</w:t>
      </w:r>
      <w:r>
        <w:t xml:space="preserve"> The setting can be switched to ‘fast’ during this time.</w:t>
      </w:r>
      <w:r w:rsidR="009F2549">
        <w:t xml:space="preserve"> The spectrometer will also warm up </w:t>
      </w:r>
      <w:r w:rsidR="009F2549" w:rsidRPr="00677D8B">
        <w:t>during this</w:t>
      </w:r>
      <w:r w:rsidR="009F2549">
        <w:t xml:space="preserve"> time.</w:t>
      </w:r>
    </w:p>
    <w:p w14:paraId="7D1642E1" w14:textId="7752D78B" w:rsidR="0054466D" w:rsidRDefault="0054466D" w:rsidP="003B1D47">
      <w:pPr>
        <w:pStyle w:val="ListParagraph"/>
        <w:numPr>
          <w:ilvl w:val="0"/>
          <w:numId w:val="2"/>
        </w:numPr>
        <w:ind w:left="0"/>
      </w:pPr>
      <w:r>
        <w:t xml:space="preserve">Place standards in their racks, preferably from lowest to highest. 901 will be blank. </w:t>
      </w:r>
    </w:p>
    <w:p w14:paraId="63AC6553" w14:textId="1DA53494" w:rsidR="0054466D" w:rsidRDefault="0054466D" w:rsidP="003B1D47">
      <w:pPr>
        <w:pStyle w:val="ListParagraph"/>
        <w:numPr>
          <w:ilvl w:val="0"/>
          <w:numId w:val="2"/>
        </w:numPr>
        <w:ind w:left="0"/>
      </w:pPr>
      <w:r>
        <w:t xml:space="preserve">Place samples in the sample rack. </w:t>
      </w:r>
    </w:p>
    <w:p w14:paraId="33FDD716" w14:textId="64165654" w:rsidR="00677D8B" w:rsidRDefault="00677D8B" w:rsidP="00677D8B">
      <w:pPr>
        <w:pStyle w:val="ListParagraph"/>
        <w:ind w:left="0"/>
      </w:pPr>
    </w:p>
    <w:p w14:paraId="49486E71" w14:textId="0B02F732" w:rsidR="00677D8B" w:rsidRPr="00677D8B" w:rsidRDefault="00677D8B" w:rsidP="00677D8B">
      <w:pPr>
        <w:pStyle w:val="Heading2"/>
        <w:ind w:hanging="540"/>
        <w:rPr>
          <w:b/>
        </w:rPr>
      </w:pPr>
      <w:r w:rsidRPr="00677D8B">
        <w:rPr>
          <w:b/>
        </w:rPr>
        <w:t>3.0</w:t>
      </w:r>
      <w:r w:rsidRPr="00677D8B">
        <w:rPr>
          <w:b/>
        </w:rPr>
        <w:tab/>
        <w:t>Setting up a new run</w:t>
      </w:r>
      <w:r>
        <w:rPr>
          <w:b/>
        </w:rPr>
        <w:br/>
      </w:r>
    </w:p>
    <w:p w14:paraId="10B4E757" w14:textId="77777777" w:rsidR="00677D8B" w:rsidRDefault="00677D8B" w:rsidP="00677D8B">
      <w:pPr>
        <w:pStyle w:val="ListParagraph"/>
        <w:ind w:left="0"/>
      </w:pPr>
      <w:r>
        <w:t>While the machine is warming up, you can setup a new run on the software.</w:t>
      </w:r>
    </w:p>
    <w:p w14:paraId="7DBB0440" w14:textId="071BB92B" w:rsidR="003809EB" w:rsidRDefault="003809EB" w:rsidP="003B1D47">
      <w:pPr>
        <w:pStyle w:val="ListParagraph"/>
        <w:numPr>
          <w:ilvl w:val="0"/>
          <w:numId w:val="2"/>
        </w:numPr>
        <w:ind w:left="0"/>
      </w:pPr>
      <w:r>
        <w:t>Go to Set Up &gt; Analysis/Run</w:t>
      </w:r>
    </w:p>
    <w:p w14:paraId="3646394A" w14:textId="22DFD338" w:rsidR="003809EB" w:rsidRDefault="003809EB" w:rsidP="003B1D47">
      <w:pPr>
        <w:pStyle w:val="ListParagraph"/>
        <w:numPr>
          <w:ilvl w:val="0"/>
          <w:numId w:val="2"/>
        </w:numPr>
        <w:ind w:left="0"/>
      </w:pPr>
      <w:r>
        <w:t>Click ‘New Analysis’. Choose System 1.</w:t>
      </w:r>
    </w:p>
    <w:p w14:paraId="17EE2F46" w14:textId="06C5299C" w:rsidR="00A07C13" w:rsidRDefault="00677D8B" w:rsidP="003B1D47">
      <w:pPr>
        <w:pStyle w:val="ListParagraph"/>
        <w:numPr>
          <w:ilvl w:val="0"/>
          <w:numId w:val="2"/>
        </w:numPr>
        <w:ind w:left="0"/>
      </w:pPr>
      <w:r>
        <w:lastRenderedPageBreak/>
        <w:t xml:space="preserve">Fill the Main Page tab. See Figure 2 in the figure section for details. </w:t>
      </w:r>
      <w:r w:rsidR="003809EB">
        <w:t>(Method 2 can be deleted.)</w:t>
      </w:r>
    </w:p>
    <w:p w14:paraId="2798440F" w14:textId="1CA44136" w:rsidR="00A07C13" w:rsidRDefault="00A07C13" w:rsidP="00AF1E25">
      <w:pPr>
        <w:pStyle w:val="ListParagraph"/>
        <w:numPr>
          <w:ilvl w:val="0"/>
          <w:numId w:val="2"/>
        </w:numPr>
        <w:ind w:left="0"/>
      </w:pPr>
      <w:r>
        <w:t>F</w:t>
      </w:r>
      <w:r w:rsidR="00677D8B">
        <w:t>ill in Channel 1 tab. See Figure 3 in the figure section for details. Note: s</w:t>
      </w:r>
      <w:r>
        <w:t>tart standards from 0</w:t>
      </w:r>
      <w:r w:rsidR="00677D8B">
        <w:t xml:space="preserve"> </w:t>
      </w:r>
      <w:r>
        <w:t>ppm, not 50</w:t>
      </w:r>
      <w:r w:rsidR="00677D8B">
        <w:t xml:space="preserve"> </w:t>
      </w:r>
      <w:r>
        <w:t>ppb</w:t>
      </w:r>
      <w:r w:rsidR="00677D8B">
        <w:t>.</w:t>
      </w:r>
    </w:p>
    <w:p w14:paraId="2C11B0E6" w14:textId="1CA62849" w:rsidR="007E506E" w:rsidRDefault="00677D8B" w:rsidP="00C30C60">
      <w:pPr>
        <w:pStyle w:val="ListParagraph"/>
        <w:numPr>
          <w:ilvl w:val="0"/>
          <w:numId w:val="2"/>
        </w:numPr>
        <w:ind w:left="0"/>
      </w:pPr>
      <w:r>
        <w:t xml:space="preserve">Set up the Tray Protocol tab. See Figure 4 in the figures section for details. </w:t>
      </w:r>
      <w:r>
        <w:br/>
        <w:t>You can also load a tray from previous run and modify it.</w:t>
      </w:r>
    </w:p>
    <w:p w14:paraId="0F27FEB5" w14:textId="42CD2C85" w:rsidR="00DD2865" w:rsidRDefault="00DD2865" w:rsidP="003B1D47">
      <w:pPr>
        <w:pStyle w:val="ListParagraph"/>
        <w:numPr>
          <w:ilvl w:val="0"/>
          <w:numId w:val="2"/>
        </w:numPr>
        <w:ind w:left="0"/>
      </w:pPr>
      <w:r>
        <w:t>Save the tray after setting it up.</w:t>
      </w:r>
    </w:p>
    <w:p w14:paraId="5431B193" w14:textId="3E3473A7" w:rsidR="00DD2865" w:rsidRPr="00677D8B" w:rsidRDefault="00677D8B" w:rsidP="003B1D47">
      <w:pPr>
        <w:pStyle w:val="ListParagraph"/>
        <w:numPr>
          <w:ilvl w:val="0"/>
          <w:numId w:val="2"/>
        </w:numPr>
        <w:ind w:left="0"/>
      </w:pPr>
      <w:r w:rsidRPr="00677D8B">
        <w:t xml:space="preserve">Close </w:t>
      </w:r>
      <w:r>
        <w:t>the screen. Say ‘yes’ to “Do you want to create a run?”</w:t>
      </w:r>
    </w:p>
    <w:p w14:paraId="3C36688C" w14:textId="4D2B62CD" w:rsidR="003809EB" w:rsidRDefault="00555E03" w:rsidP="003B1D47">
      <w:pPr>
        <w:pStyle w:val="ListParagraph"/>
        <w:numPr>
          <w:ilvl w:val="0"/>
          <w:numId w:val="2"/>
        </w:numPr>
        <w:ind w:left="0"/>
      </w:pPr>
      <w:r>
        <w:t xml:space="preserve">Close the old charting screen. </w:t>
      </w:r>
      <w:r w:rsidR="003809EB">
        <w:t xml:space="preserve">Click </w:t>
      </w:r>
      <w:r>
        <w:t xml:space="preserve">on </w:t>
      </w:r>
      <w:r w:rsidR="003809EB">
        <w:t>‘Charting’</w:t>
      </w:r>
      <w:r>
        <w:t xml:space="preserve"> again</w:t>
      </w:r>
      <w:r w:rsidR="00DD2865">
        <w:t>. Make sure the method you saved is the one that is currently active.</w:t>
      </w:r>
    </w:p>
    <w:p w14:paraId="4EC243B8" w14:textId="527199BE" w:rsidR="00DD2865" w:rsidRDefault="00DD2865" w:rsidP="003B1D47">
      <w:pPr>
        <w:pStyle w:val="ListParagraph"/>
        <w:numPr>
          <w:ilvl w:val="0"/>
          <w:numId w:val="2"/>
        </w:numPr>
        <w:ind w:left="0"/>
      </w:pPr>
      <w:r>
        <w:t>Close Ch.2-1 -.</w:t>
      </w:r>
    </w:p>
    <w:p w14:paraId="3362015F" w14:textId="77777777" w:rsidR="00555E03" w:rsidRDefault="00555E03" w:rsidP="00555E03">
      <w:pPr>
        <w:pStyle w:val="ListParagraph"/>
        <w:numPr>
          <w:ilvl w:val="0"/>
          <w:numId w:val="2"/>
        </w:numPr>
        <w:ind w:left="0"/>
      </w:pPr>
      <w:r>
        <w:t>Switch pump to ‘normal’ pace.</w:t>
      </w:r>
    </w:p>
    <w:p w14:paraId="56F6EBB3" w14:textId="2633F217" w:rsidR="003809EB" w:rsidRDefault="00DD2865" w:rsidP="003B1D47">
      <w:pPr>
        <w:pStyle w:val="ListParagraph"/>
        <w:numPr>
          <w:ilvl w:val="0"/>
          <w:numId w:val="2"/>
        </w:numPr>
        <w:ind w:left="0"/>
      </w:pPr>
      <w:r>
        <w:t>Right click in the chart area and ‘Set light power’.</w:t>
      </w:r>
      <w:r w:rsidR="005B0A51">
        <w:t xml:space="preserve"> </w:t>
      </w:r>
      <w:r w:rsidR="00555E03">
        <w:t>This will take a few seconds.</w:t>
      </w:r>
    </w:p>
    <w:p w14:paraId="773191CD" w14:textId="2776309E" w:rsidR="00DD2865" w:rsidRDefault="005B0A51" w:rsidP="003B1D47">
      <w:pPr>
        <w:pStyle w:val="ListParagraph"/>
        <w:numPr>
          <w:ilvl w:val="0"/>
          <w:numId w:val="2"/>
        </w:numPr>
        <w:ind w:left="0"/>
      </w:pPr>
      <w:r>
        <w:t>Right click and ‘set base’</w:t>
      </w:r>
      <w:r w:rsidR="00555E03">
        <w:t xml:space="preserve">. You should just be running </w:t>
      </w:r>
      <w:r>
        <w:t xml:space="preserve">water </w:t>
      </w:r>
      <w:r w:rsidR="00555E03">
        <w:t>as a sample, and reagents during all this</w:t>
      </w:r>
      <w:r>
        <w:t>.</w:t>
      </w:r>
    </w:p>
    <w:p w14:paraId="7CDCD959" w14:textId="48880BA7" w:rsidR="00555E03" w:rsidRDefault="00555E03" w:rsidP="003B1D47">
      <w:pPr>
        <w:pStyle w:val="ListParagraph"/>
        <w:numPr>
          <w:ilvl w:val="0"/>
          <w:numId w:val="2"/>
        </w:numPr>
        <w:ind w:left="0"/>
      </w:pPr>
      <w:r>
        <w:t>Wait for the baseline to become stable.</w:t>
      </w:r>
      <w:r w:rsidRPr="00555E03">
        <w:t xml:space="preserve"> </w:t>
      </w:r>
      <w:r>
        <w:t>The graph should be a stable continuous line.</w:t>
      </w:r>
    </w:p>
    <w:p w14:paraId="6ECC23FD" w14:textId="66A37B79" w:rsidR="005B0A51" w:rsidRDefault="00555E03" w:rsidP="003B1D47">
      <w:pPr>
        <w:pStyle w:val="ListParagraph"/>
        <w:numPr>
          <w:ilvl w:val="0"/>
          <w:numId w:val="2"/>
        </w:numPr>
        <w:ind w:left="0"/>
      </w:pPr>
      <w:r>
        <w:t>Double click on ‘XY2</w:t>
      </w:r>
      <w:r w:rsidR="005B0A51">
        <w:t xml:space="preserve"> Sampler 1’. Make the sampling probe go into the highest standard. </w:t>
      </w:r>
      <w:r>
        <w:br/>
      </w:r>
      <w:r w:rsidR="005B0A51">
        <w:t xml:space="preserve">After </w:t>
      </w:r>
      <w:r>
        <w:t>1 minute</w:t>
      </w:r>
      <w:r w:rsidR="005B0A51">
        <w:t>, it can be switched back to wash.</w:t>
      </w:r>
    </w:p>
    <w:p w14:paraId="747626DF" w14:textId="16A67F96" w:rsidR="005B0A51" w:rsidRDefault="005B0A51" w:rsidP="003B1D47">
      <w:pPr>
        <w:pStyle w:val="ListParagraph"/>
        <w:numPr>
          <w:ilvl w:val="0"/>
          <w:numId w:val="2"/>
        </w:numPr>
        <w:ind w:left="0"/>
      </w:pPr>
      <w:r>
        <w:t xml:space="preserve">Wait for the highest standard peak to show up. It’ll take about </w:t>
      </w:r>
      <w:r w:rsidR="00555E03">
        <w:t>12</w:t>
      </w:r>
      <w:r w:rsidRPr="00555E03">
        <w:t>-15 mins</w:t>
      </w:r>
      <w:r>
        <w:t xml:space="preserve"> to show up. Don’t miss it!</w:t>
      </w:r>
    </w:p>
    <w:p w14:paraId="0C2F4B97" w14:textId="123BE8D3" w:rsidR="005B0A51" w:rsidRDefault="005B0A51" w:rsidP="003B1D47">
      <w:pPr>
        <w:pStyle w:val="ListParagraph"/>
        <w:numPr>
          <w:ilvl w:val="0"/>
          <w:numId w:val="2"/>
        </w:numPr>
        <w:ind w:left="0"/>
      </w:pPr>
      <w:r>
        <w:t xml:space="preserve">When you see the peak, right click and </w:t>
      </w:r>
      <w:r w:rsidR="00571937">
        <w:t>‘S</w:t>
      </w:r>
      <w:r>
        <w:t xml:space="preserve">et </w:t>
      </w:r>
      <w:r w:rsidR="00571937">
        <w:t>Gain’.</w:t>
      </w:r>
    </w:p>
    <w:p w14:paraId="5C1A60D5" w14:textId="107A7BB0" w:rsidR="002A457F" w:rsidRDefault="002A457F" w:rsidP="003B1D47">
      <w:pPr>
        <w:pStyle w:val="ListParagraph"/>
        <w:numPr>
          <w:ilvl w:val="0"/>
          <w:numId w:val="2"/>
        </w:numPr>
        <w:ind w:left="0"/>
      </w:pPr>
      <w:r>
        <w:t xml:space="preserve">Now you can hit ‘run’ and start your analysis. </w:t>
      </w:r>
      <w:r w:rsidR="00555E03">
        <w:t>You may start a new charting session if you like.</w:t>
      </w:r>
    </w:p>
    <w:p w14:paraId="0FA0DFFD" w14:textId="77777777" w:rsidR="00555E03" w:rsidRDefault="00555E03" w:rsidP="003B1D47">
      <w:pPr>
        <w:pStyle w:val="Heading2"/>
      </w:pPr>
    </w:p>
    <w:p w14:paraId="1AB49F5E" w14:textId="732D99E4" w:rsidR="006E4101" w:rsidRPr="00555E03" w:rsidRDefault="00555E03" w:rsidP="00555E03">
      <w:pPr>
        <w:pStyle w:val="Heading2"/>
        <w:ind w:hanging="630"/>
        <w:rPr>
          <w:b/>
        </w:rPr>
      </w:pPr>
      <w:r w:rsidRPr="00555E03">
        <w:rPr>
          <w:b/>
        </w:rPr>
        <w:t>4.0</w:t>
      </w:r>
      <w:r w:rsidRPr="00555E03">
        <w:rPr>
          <w:b/>
        </w:rPr>
        <w:tab/>
      </w:r>
      <w:r w:rsidR="006E4101" w:rsidRPr="00555E03">
        <w:rPr>
          <w:b/>
        </w:rPr>
        <w:t>Clean-up</w:t>
      </w:r>
      <w:r>
        <w:rPr>
          <w:b/>
        </w:rPr>
        <w:br/>
      </w:r>
    </w:p>
    <w:p w14:paraId="77715896" w14:textId="62807AD6" w:rsidR="00FB5BB1" w:rsidRDefault="00FB5BB1" w:rsidP="003B1D47">
      <w:pPr>
        <w:pStyle w:val="ListParagraph"/>
        <w:numPr>
          <w:ilvl w:val="0"/>
          <w:numId w:val="2"/>
        </w:numPr>
        <w:ind w:left="0"/>
      </w:pPr>
      <w:r>
        <w:t>Put all lines in the water and let run for 5 mins on ‘fast’ speed.</w:t>
      </w:r>
    </w:p>
    <w:p w14:paraId="1E52A5E1" w14:textId="45520002" w:rsidR="006E4101" w:rsidRDefault="00FB5BB1" w:rsidP="003B1D47">
      <w:pPr>
        <w:pStyle w:val="ListParagraph"/>
        <w:numPr>
          <w:ilvl w:val="0"/>
          <w:numId w:val="2"/>
        </w:numPr>
        <w:ind w:left="0"/>
      </w:pPr>
      <w:r>
        <w:t>Inject 3% H</w:t>
      </w:r>
      <w:r w:rsidRPr="00FB5BB1">
        <w:rPr>
          <w:vertAlign w:val="subscript"/>
        </w:rPr>
        <w:t>2</w:t>
      </w:r>
      <w:r>
        <w:t>SO</w:t>
      </w:r>
      <w:r w:rsidRPr="00FB5BB1">
        <w:rPr>
          <w:vertAlign w:val="subscript"/>
        </w:rPr>
        <w:t>4</w:t>
      </w:r>
      <w:r>
        <w:t xml:space="preserve"> as a sample for 5 mins.</w:t>
      </w:r>
    </w:p>
    <w:p w14:paraId="78CC0112" w14:textId="3CEDB174" w:rsidR="00FB5BB1" w:rsidRDefault="00FB5BB1" w:rsidP="003B1D47">
      <w:pPr>
        <w:pStyle w:val="ListParagraph"/>
        <w:numPr>
          <w:ilvl w:val="0"/>
          <w:numId w:val="2"/>
        </w:numPr>
        <w:ind w:left="0"/>
      </w:pPr>
      <w:r>
        <w:t>Then put the p</w:t>
      </w:r>
      <w:r w:rsidR="00555E03">
        <w:t>robe back in the wash line for 5</w:t>
      </w:r>
      <w:r>
        <w:t xml:space="preserve"> mins.</w:t>
      </w:r>
    </w:p>
    <w:p w14:paraId="6110D7B5" w14:textId="17FAD832" w:rsidR="00FB5BB1" w:rsidRDefault="00FB5BB1" w:rsidP="003B1D47">
      <w:pPr>
        <w:pStyle w:val="ListParagraph"/>
        <w:numPr>
          <w:ilvl w:val="0"/>
          <w:numId w:val="2"/>
        </w:numPr>
        <w:ind w:left="0"/>
      </w:pPr>
      <w:r>
        <w:t>Turn off the switch on the power bar.</w:t>
      </w:r>
    </w:p>
    <w:p w14:paraId="5B4D30A9" w14:textId="5252D1A3" w:rsidR="00555E03" w:rsidRDefault="00555E03" w:rsidP="003B1D47">
      <w:pPr>
        <w:pStyle w:val="ListParagraph"/>
        <w:numPr>
          <w:ilvl w:val="0"/>
          <w:numId w:val="2"/>
        </w:numPr>
        <w:ind w:left="0"/>
      </w:pPr>
      <w:r>
        <w:t>Take off the platen.</w:t>
      </w:r>
    </w:p>
    <w:p w14:paraId="748F2918" w14:textId="127FD91F" w:rsidR="004C4806" w:rsidRDefault="00555E03" w:rsidP="004C4806">
      <w:pPr>
        <w:pStyle w:val="ListParagraph"/>
        <w:numPr>
          <w:ilvl w:val="0"/>
          <w:numId w:val="2"/>
        </w:numPr>
        <w:ind w:left="0"/>
      </w:pPr>
      <w:r>
        <w:t>Loosen the sampling lines</w:t>
      </w:r>
    </w:p>
    <w:p w14:paraId="0A5FA66A" w14:textId="588B3004" w:rsidR="00555E03" w:rsidRDefault="00555E03" w:rsidP="004C4806">
      <w:pPr>
        <w:pStyle w:val="ListParagraph"/>
        <w:numPr>
          <w:ilvl w:val="0"/>
          <w:numId w:val="2"/>
        </w:numPr>
        <w:ind w:left="0"/>
      </w:pPr>
      <w:r>
        <w:t>Put the dust covers on.</w:t>
      </w:r>
    </w:p>
    <w:p w14:paraId="0BDDD6EE" w14:textId="78D13C47" w:rsidR="00555E03" w:rsidRDefault="00555E03" w:rsidP="004C4806">
      <w:pPr>
        <w:pStyle w:val="ListParagraph"/>
        <w:numPr>
          <w:ilvl w:val="0"/>
          <w:numId w:val="2"/>
        </w:numPr>
        <w:ind w:left="0"/>
      </w:pPr>
      <w:r>
        <w:t>Put all reagents away.</w:t>
      </w:r>
    </w:p>
    <w:p w14:paraId="68E09BA3" w14:textId="4B838562" w:rsidR="007F1770" w:rsidRDefault="007F1770" w:rsidP="007F1770">
      <w:pPr>
        <w:pStyle w:val="ListParagraph"/>
        <w:ind w:left="0"/>
      </w:pPr>
    </w:p>
    <w:p w14:paraId="521EE10A" w14:textId="77777777" w:rsidR="007F1770" w:rsidRDefault="007F1770" w:rsidP="007F1770">
      <w:pPr>
        <w:pStyle w:val="ListParagraph"/>
        <w:ind w:left="0"/>
      </w:pPr>
    </w:p>
    <w:p w14:paraId="388904EE" w14:textId="77777777" w:rsidR="00555E03" w:rsidRDefault="00555E03" w:rsidP="007F1770">
      <w:pPr>
        <w:pStyle w:val="ListParagraph"/>
        <w:keepNext/>
        <w:ind w:left="0"/>
      </w:pPr>
    </w:p>
    <w:p w14:paraId="7B8EFC1E" w14:textId="376B0D0D" w:rsidR="00555E03" w:rsidRPr="00555E03" w:rsidRDefault="00555E03" w:rsidP="00555E03">
      <w:pPr>
        <w:pStyle w:val="Heading2"/>
        <w:ind w:hanging="630"/>
        <w:rPr>
          <w:b/>
        </w:rPr>
      </w:pPr>
      <w:r w:rsidRPr="00555E03">
        <w:rPr>
          <w:b/>
        </w:rPr>
        <w:t>5.0</w:t>
      </w:r>
      <w:r w:rsidRPr="00555E03">
        <w:rPr>
          <w:b/>
        </w:rPr>
        <w:tab/>
        <w:t>Figures</w:t>
      </w:r>
    </w:p>
    <w:p w14:paraId="3044315D" w14:textId="77777777" w:rsidR="00555E03" w:rsidRDefault="00555E03" w:rsidP="007F1770">
      <w:pPr>
        <w:pStyle w:val="ListParagraph"/>
        <w:keepNext/>
        <w:ind w:left="0"/>
      </w:pPr>
    </w:p>
    <w:p w14:paraId="17065361" w14:textId="5A30DA25" w:rsidR="007F1770" w:rsidRDefault="007F1770" w:rsidP="007F1770">
      <w:pPr>
        <w:pStyle w:val="ListParagraph"/>
        <w:keepNext/>
        <w:ind w:left="0"/>
      </w:pPr>
      <w:r>
        <w:rPr>
          <w:noProof/>
        </w:rPr>
        <w:drawing>
          <wp:inline distT="0" distB="0" distL="0" distR="0" wp14:anchorId="1FD15B71" wp14:editId="42F3A680">
            <wp:extent cx="5179422" cy="2788920"/>
            <wp:effectExtent l="19050" t="19050" r="2159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381" cy="27953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B97A6A" w14:textId="6677FFF5" w:rsidR="007F1770" w:rsidRDefault="007F1770" w:rsidP="007F1770">
      <w:pPr>
        <w:pStyle w:val="Caption"/>
      </w:pPr>
      <w:r>
        <w:t xml:space="preserve">Figure </w:t>
      </w:r>
      <w:fldSimple w:instr=" SEQ Figure \* ARABIC ">
        <w:r w:rsidR="00677D8B">
          <w:rPr>
            <w:noProof/>
          </w:rPr>
          <w:t>1</w:t>
        </w:r>
      </w:fldSimple>
      <w:r>
        <w:t xml:space="preserve">. Schematic of the AA instrumentation. Taken and modified from </w:t>
      </w:r>
      <w:r w:rsidRPr="00F56D0A">
        <w:t>Method No. G-103-93 Rev. 10</w:t>
      </w:r>
      <w:r>
        <w:t>, page 11.</w:t>
      </w:r>
    </w:p>
    <w:p w14:paraId="7F5A6466" w14:textId="579555B8" w:rsidR="007F1770" w:rsidRDefault="007F1770" w:rsidP="007F1770">
      <w:pPr>
        <w:pStyle w:val="ListParagraph"/>
        <w:ind w:left="0"/>
      </w:pPr>
    </w:p>
    <w:p w14:paraId="01520E2C" w14:textId="77777777" w:rsidR="00677D8B" w:rsidRDefault="00677D8B" w:rsidP="00677D8B">
      <w:pPr>
        <w:pStyle w:val="ListParagraph"/>
        <w:keepNext/>
        <w:spacing w:after="0"/>
        <w:ind w:left="0"/>
        <w:contextualSpacing w:val="0"/>
      </w:pPr>
      <w:bookmarkStart w:id="0" w:name="_GoBack"/>
      <w:r>
        <w:rPr>
          <w:noProof/>
        </w:rPr>
        <w:drawing>
          <wp:inline distT="0" distB="0" distL="0" distR="0" wp14:anchorId="4F643B12" wp14:editId="7A8F95E6">
            <wp:extent cx="4107180" cy="354553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P_20140924_10_44_57_Pro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95" t="9603" r="15709" b="-1405"/>
                    <a:stretch/>
                  </pic:blipFill>
                  <pic:spPr bwMode="auto">
                    <a:xfrm>
                      <a:off x="0" y="0"/>
                      <a:ext cx="4140950" cy="3574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43F659AB" w14:textId="5CFC32B6" w:rsidR="00677D8B" w:rsidRDefault="00677D8B" w:rsidP="00677D8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 Method Page set-up.</w:t>
      </w:r>
    </w:p>
    <w:p w14:paraId="6EBA7B07" w14:textId="77777777" w:rsidR="00555E03" w:rsidRDefault="00555E03" w:rsidP="00677D8B">
      <w:pPr>
        <w:pStyle w:val="ListParagraph"/>
        <w:keepNext/>
        <w:spacing w:after="0"/>
        <w:ind w:left="0"/>
        <w:contextualSpacing w:val="0"/>
      </w:pPr>
    </w:p>
    <w:p w14:paraId="6C37B252" w14:textId="77777777" w:rsidR="00677D8B" w:rsidRDefault="00677D8B" w:rsidP="00677D8B">
      <w:pPr>
        <w:pStyle w:val="ListParagraph"/>
        <w:keepNext/>
        <w:spacing w:after="0"/>
        <w:ind w:left="0"/>
        <w:contextualSpacing w:val="0"/>
      </w:pPr>
      <w:r>
        <w:rPr>
          <w:noProof/>
        </w:rPr>
        <w:drawing>
          <wp:inline distT="0" distB="0" distL="0" distR="0" wp14:anchorId="30D6D9F4" wp14:editId="4CAC2541">
            <wp:extent cx="3962400" cy="326727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P_20140924_10_49_27_Pro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05" t="5244" r="12180"/>
                    <a:stretch/>
                  </pic:blipFill>
                  <pic:spPr bwMode="auto">
                    <a:xfrm>
                      <a:off x="0" y="0"/>
                      <a:ext cx="3978394" cy="3280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0D473" w14:textId="74046D04" w:rsidR="00677D8B" w:rsidRDefault="00677D8B" w:rsidP="00677D8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. Channel 1 set-up.</w:t>
      </w:r>
    </w:p>
    <w:p w14:paraId="3BA2C79E" w14:textId="77777777" w:rsidR="00677D8B" w:rsidRDefault="00677D8B" w:rsidP="00677D8B">
      <w:pPr>
        <w:pStyle w:val="ListParagraph"/>
        <w:keepNext/>
        <w:spacing w:after="0"/>
        <w:ind w:left="0"/>
        <w:contextualSpacing w:val="0"/>
      </w:pPr>
      <w:r>
        <w:rPr>
          <w:noProof/>
        </w:rPr>
        <w:drawing>
          <wp:inline distT="0" distB="0" distL="0" distR="0" wp14:anchorId="0150DE61" wp14:editId="7ADD2172">
            <wp:extent cx="1825592" cy="389347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P_20150402_12_10_05_Pro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17" t="22222" r="36927" b="13796"/>
                    <a:stretch/>
                  </pic:blipFill>
                  <pic:spPr bwMode="auto">
                    <a:xfrm>
                      <a:off x="0" y="0"/>
                      <a:ext cx="1837357" cy="3918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0BEFA" w14:textId="216269F7" w:rsidR="00677D8B" w:rsidRDefault="00677D8B" w:rsidP="00677D8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. Tray Protocol set-up.</w:t>
      </w:r>
    </w:p>
    <w:p w14:paraId="35DBB9B3" w14:textId="4A69104A" w:rsidR="007F1770" w:rsidRDefault="007F1770" w:rsidP="007F1770">
      <w:pPr>
        <w:pStyle w:val="ListParagraph"/>
        <w:ind w:left="0"/>
      </w:pPr>
    </w:p>
    <w:sectPr w:rsidR="007F1770" w:rsidSect="00144B1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932C58" w14:textId="77777777" w:rsidR="00144B12" w:rsidRDefault="00144B12" w:rsidP="00144B12">
      <w:pPr>
        <w:spacing w:after="0" w:line="240" w:lineRule="auto"/>
      </w:pPr>
      <w:r>
        <w:separator/>
      </w:r>
    </w:p>
  </w:endnote>
  <w:endnote w:type="continuationSeparator" w:id="0">
    <w:p w14:paraId="19E7A73F" w14:textId="77777777" w:rsidR="00144B12" w:rsidRDefault="00144B12" w:rsidP="00144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F9A419" w14:textId="77777777" w:rsidR="00144B12" w:rsidRDefault="00144B12" w:rsidP="00144B12">
      <w:pPr>
        <w:spacing w:after="0" w:line="240" w:lineRule="auto"/>
      </w:pPr>
      <w:r>
        <w:separator/>
      </w:r>
    </w:p>
  </w:footnote>
  <w:footnote w:type="continuationSeparator" w:id="0">
    <w:p w14:paraId="46DB6E8D" w14:textId="77777777" w:rsidR="00144B12" w:rsidRDefault="00144B12" w:rsidP="00144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1D096" w14:textId="1C4AC633" w:rsidR="00144B12" w:rsidRDefault="00144B12" w:rsidP="00144B12">
    <w:pPr>
      <w:pStyle w:val="Header"/>
      <w:pBdr>
        <w:bottom w:val="single" w:sz="4" w:space="1" w:color="auto"/>
      </w:pBdr>
      <w:rPr>
        <w:b/>
        <w:sz w:val="32"/>
      </w:rPr>
    </w:pPr>
    <w:r>
      <w:t xml:space="preserve">Version 01 - </w:t>
    </w:r>
    <w:r>
      <w:t>Nov 11 2015</w:t>
    </w:r>
    <w:r>
      <w:ptab w:relativeTo="margin" w:alignment="center" w:leader="none"/>
    </w:r>
    <w:r w:rsidRPr="00144B12">
      <w:rPr>
        <w:b/>
        <w:sz w:val="32"/>
      </w:rPr>
      <w:t xml:space="preserve">Seal </w:t>
    </w:r>
    <w:r>
      <w:rPr>
        <w:b/>
        <w:sz w:val="32"/>
      </w:rPr>
      <w:t>Analytical AA</w:t>
    </w:r>
    <w:r w:rsidRPr="00144B12">
      <w:rPr>
        <w:b/>
        <w:sz w:val="32"/>
      </w:rPr>
      <w:t xml:space="preserve"> SOP</w:t>
    </w:r>
    <w:r>
      <w:rPr>
        <w:b/>
        <w:sz w:val="32"/>
      </w:rPr>
      <w:t xml:space="preserve"> </w:t>
    </w:r>
    <w:r>
      <w:rPr>
        <w:b/>
        <w:sz w:val="32"/>
      </w:rPr>
      <w:tab/>
    </w:r>
  </w:p>
  <w:p w14:paraId="7951FE09" w14:textId="1F225638" w:rsidR="00144B12" w:rsidRPr="00144B12" w:rsidRDefault="00144B12" w:rsidP="00144B12">
    <w:pPr>
      <w:pStyle w:val="Header"/>
      <w:pBdr>
        <w:bottom w:val="single" w:sz="4" w:space="1" w:color="auto"/>
      </w:pBdr>
    </w:pPr>
    <w:r>
      <w:rPr>
        <w:b/>
        <w:sz w:val="32"/>
      </w:rPr>
      <w:tab/>
      <w:t>for Phosphorus Analysis</w:t>
    </w:r>
    <w:r>
      <w:rPr>
        <w:b/>
        <w:sz w:val="32"/>
      </w:rPr>
      <w:tab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F3F3D"/>
    <w:multiLevelType w:val="hybridMultilevel"/>
    <w:tmpl w:val="BE06A036"/>
    <w:lvl w:ilvl="0" w:tplc="0409000F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243657FD"/>
    <w:multiLevelType w:val="hybridMultilevel"/>
    <w:tmpl w:val="F7A06810"/>
    <w:lvl w:ilvl="0" w:tplc="ED70AB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D61D0"/>
    <w:multiLevelType w:val="hybridMultilevel"/>
    <w:tmpl w:val="4104C7EC"/>
    <w:lvl w:ilvl="0" w:tplc="7E8672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101"/>
    <w:rsid w:val="00144B12"/>
    <w:rsid w:val="00232192"/>
    <w:rsid w:val="002A457F"/>
    <w:rsid w:val="003809EB"/>
    <w:rsid w:val="003B1D47"/>
    <w:rsid w:val="004C4806"/>
    <w:rsid w:val="0054466D"/>
    <w:rsid w:val="00555E03"/>
    <w:rsid w:val="00571937"/>
    <w:rsid w:val="005B0A51"/>
    <w:rsid w:val="005E1075"/>
    <w:rsid w:val="00677D8B"/>
    <w:rsid w:val="006E4101"/>
    <w:rsid w:val="007E506E"/>
    <w:rsid w:val="007F1770"/>
    <w:rsid w:val="007F1859"/>
    <w:rsid w:val="009F2549"/>
    <w:rsid w:val="00A07C13"/>
    <w:rsid w:val="00A47536"/>
    <w:rsid w:val="00DD2865"/>
    <w:rsid w:val="00FB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5B7EC"/>
  <w15:chartTrackingRefBased/>
  <w15:docId w15:val="{42FAA992-7C6D-4BEC-9A23-1D6AD963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0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46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10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10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44B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44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B12"/>
  </w:style>
  <w:style w:type="paragraph" w:styleId="Footer">
    <w:name w:val="footer"/>
    <w:basedOn w:val="Normal"/>
    <w:link w:val="FooterChar"/>
    <w:uiPriority w:val="99"/>
    <w:unhideWhenUsed/>
    <w:rsid w:val="00144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B12"/>
  </w:style>
  <w:style w:type="paragraph" w:styleId="Caption">
    <w:name w:val="caption"/>
    <w:basedOn w:val="Normal"/>
    <w:next w:val="Normal"/>
    <w:uiPriority w:val="35"/>
    <w:semiHidden/>
    <w:unhideWhenUsed/>
    <w:qFormat/>
    <w:rsid w:val="007F177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Ateeq</dc:creator>
  <cp:keywords/>
  <dc:description/>
  <cp:lastModifiedBy>Farah Ateeq</cp:lastModifiedBy>
  <cp:revision>11</cp:revision>
  <dcterms:created xsi:type="dcterms:W3CDTF">2015-10-30T18:17:00Z</dcterms:created>
  <dcterms:modified xsi:type="dcterms:W3CDTF">2015-11-11T16:07:00Z</dcterms:modified>
</cp:coreProperties>
</file>