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A85B2" w14:textId="017EC89F" w:rsidR="002E6155" w:rsidRDefault="002E6155">
      <w:pPr>
        <w:spacing w:before="20"/>
      </w:pPr>
    </w:p>
    <w:p w14:paraId="77E33232" w14:textId="7CE03040" w:rsidR="00046BD1" w:rsidRDefault="00046BD1">
      <w:pPr>
        <w:spacing w:before="20"/>
      </w:pPr>
    </w:p>
    <w:p w14:paraId="3FA7F804" w14:textId="77777777" w:rsidR="00210F20" w:rsidRDefault="00210F20">
      <w:pPr>
        <w:spacing w:before="20"/>
      </w:pPr>
    </w:p>
    <w:p w14:paraId="7567B5B5" w14:textId="250EB549" w:rsidR="002E6155" w:rsidRDefault="00842DFD">
      <w:pPr>
        <w:pBdr>
          <w:left w:val="single" w:sz="8" w:space="8" w:color="6B7280"/>
        </w:pBdr>
        <w:spacing w:before="34" w:after="34"/>
        <w:ind w:left="300" w:right="300"/>
      </w:pPr>
      <w:r>
        <w:rPr>
          <w:sz w:val="19"/>
          <w:szCs w:val="19"/>
        </w:rPr>
        <w:t xml:space="preserve">Dr. Artiom </w:t>
      </w:r>
      <w:r w:rsidR="00F402AB" w:rsidRPr="00F402AB">
        <w:rPr>
          <w:sz w:val="19"/>
          <w:szCs w:val="19"/>
          <w:lang w:val="de-DE"/>
        </w:rPr>
        <w:t xml:space="preserve">A. </w:t>
      </w:r>
      <w:r>
        <w:rPr>
          <w:sz w:val="19"/>
          <w:szCs w:val="19"/>
        </w:rPr>
        <w:t>Kovnatsky, Dahlmannstraße 17, 10629 Berlin — Kläger und Antragsteller</w:t>
      </w:r>
    </w:p>
    <w:p w14:paraId="26B2DBDD" w14:textId="77777777" w:rsidR="002E6155" w:rsidRDefault="002E6155">
      <w:pPr>
        <w:spacing w:before="6"/>
      </w:pPr>
    </w:p>
    <w:p w14:paraId="36A9718C" w14:textId="77777777" w:rsidR="002E6155" w:rsidRDefault="00842DFD">
      <w:pPr>
        <w:pBdr>
          <w:left w:val="single" w:sz="8" w:space="8" w:color="6B7280"/>
        </w:pBdr>
        <w:spacing w:before="34" w:after="34"/>
        <w:ind w:left="300" w:right="300"/>
      </w:pPr>
      <w:r>
        <w:rPr>
          <w:sz w:val="19"/>
          <w:szCs w:val="19"/>
        </w:rPr>
        <w:t>An das Verwaltungsgericht Berlin</w:t>
      </w:r>
    </w:p>
    <w:p w14:paraId="1D75CD8C" w14:textId="77777777" w:rsidR="002E6155" w:rsidRDefault="00842DFD">
      <w:pPr>
        <w:pBdr>
          <w:left w:val="single" w:sz="8" w:space="8" w:color="6B7280"/>
        </w:pBdr>
        <w:spacing w:before="34" w:after="34"/>
        <w:ind w:left="300" w:right="300"/>
      </w:pPr>
      <w:r>
        <w:rPr>
          <w:sz w:val="19"/>
          <w:szCs w:val="19"/>
        </w:rPr>
        <w:t>Kirchstraße 7, 10557 Berlin</w:t>
      </w:r>
    </w:p>
    <w:p w14:paraId="4B5B247D" w14:textId="77777777" w:rsidR="002E6155" w:rsidRDefault="00842DFD">
      <w:pPr>
        <w:pBdr>
          <w:left w:val="single" w:sz="8" w:space="8" w:color="6B7280"/>
        </w:pBdr>
        <w:spacing w:before="34" w:after="34"/>
        <w:ind w:left="300" w:right="300"/>
      </w:pPr>
      <w:r>
        <w:rPr>
          <w:i/>
          <w:iCs/>
          <w:sz w:val="19"/>
          <w:szCs w:val="19"/>
        </w:rPr>
        <w:t>Berlin, den 25.06.2026 — vorab per Telefax</w:t>
      </w:r>
    </w:p>
    <w:p w14:paraId="0293A4D5" w14:textId="77777777" w:rsidR="002E6155" w:rsidRDefault="002E6155">
      <w:pPr>
        <w:spacing w:before="8"/>
      </w:pPr>
    </w:p>
    <w:p w14:paraId="7527358D" w14:textId="77777777" w:rsidR="002E6155" w:rsidRDefault="00842DFD">
      <w:pPr>
        <w:pBdr>
          <w:left w:val="single" w:sz="8" w:space="8" w:color="6B7280"/>
        </w:pBdr>
        <w:spacing w:before="34" w:after="34"/>
        <w:ind w:left="300" w:right="300"/>
      </w:pPr>
      <w:r>
        <w:rPr>
          <w:b/>
          <w:bCs/>
          <w:sz w:val="19"/>
          <w:szCs w:val="19"/>
        </w:rPr>
        <w:t>Klage und Antrag auf Erlass einer einstweiligen Anordnung (§ 123 VwGO)</w:t>
      </w:r>
    </w:p>
    <w:p w14:paraId="7C3E4893" w14:textId="77777777" w:rsidR="002E6155" w:rsidRDefault="00842DFD">
      <w:pPr>
        <w:pBdr>
          <w:left w:val="single" w:sz="8" w:space="8" w:color="6B7280"/>
        </w:pBdr>
        <w:spacing w:before="34" w:after="34"/>
        <w:ind w:left="300" w:right="300"/>
      </w:pPr>
      <w:r>
        <w:rPr>
          <w:sz w:val="19"/>
          <w:szCs w:val="19"/>
        </w:rPr>
        <w:t>des Herrn Dr. Artiom Kovnatsky, Dahlmannstraße 17, 10629 Berlin — Kläger und Antragsteller —</w:t>
      </w:r>
    </w:p>
    <w:p w14:paraId="7C7324F6" w14:textId="77777777" w:rsidR="002E6155" w:rsidRDefault="00842DFD">
      <w:pPr>
        <w:pBdr>
          <w:left w:val="single" w:sz="8" w:space="8" w:color="6B7280"/>
        </w:pBdr>
        <w:spacing w:before="34" w:after="34"/>
        <w:ind w:left="300" w:right="300"/>
      </w:pPr>
      <w:r>
        <w:rPr>
          <w:sz w:val="19"/>
          <w:szCs w:val="19"/>
        </w:rPr>
        <w:t>gegen</w:t>
      </w:r>
    </w:p>
    <w:p w14:paraId="685DF16B" w14:textId="77777777" w:rsidR="002E6155" w:rsidRDefault="00842DFD">
      <w:pPr>
        <w:pBdr>
          <w:left w:val="single" w:sz="8" w:space="8" w:color="6B7280"/>
        </w:pBdr>
        <w:spacing w:before="34" w:after="34"/>
        <w:ind w:left="300" w:right="300"/>
      </w:pPr>
      <w:r>
        <w:rPr>
          <w:sz w:val="19"/>
          <w:szCs w:val="19"/>
        </w:rPr>
        <w:t>die Bundesrepublik Deutschland, vertreten durch das Auswärtige Amt, Werderscher Markt 1, 10117 Berlin — Beklagte und Antragsgegnerin —</w:t>
      </w:r>
    </w:p>
    <w:p w14:paraId="7703800B" w14:textId="5CC4C2E2" w:rsidR="002E6155" w:rsidRDefault="00842DFD">
      <w:pPr>
        <w:pBdr>
          <w:left w:val="single" w:sz="8" w:space="8" w:color="6B7280"/>
        </w:pBdr>
        <w:spacing w:before="34" w:after="34"/>
        <w:ind w:left="300" w:right="300"/>
      </w:pPr>
      <w:r>
        <w:rPr>
          <w:sz w:val="19"/>
          <w:szCs w:val="19"/>
        </w:rPr>
        <w:t>wegen: Informationszugang nach dem IFG (</w:t>
      </w:r>
      <w:r w:rsidR="003D2EF7">
        <w:rPr>
          <w:b/>
          <w:bCs/>
          <w:sz w:val="19"/>
          <w:szCs w:val="19"/>
        </w:rPr>
        <w:t xml:space="preserve">Vorgang </w:t>
      </w:r>
      <w:r w:rsidR="003D2EF7" w:rsidRPr="00822F33">
        <w:rPr>
          <w:rFonts w:ascii="System Font" w:hAnsi="System Font" w:cs="System Font"/>
          <w:color w:val="131519"/>
          <w:sz w:val="19"/>
          <w:szCs w:val="19"/>
          <w:lang w:val="de-DE"/>
        </w:rPr>
        <w:t>759bc4c4-387d-49e7-9e16-9a2b56c9da0e</w:t>
      </w:r>
      <w:r w:rsidR="003D2EF7">
        <w:rPr>
          <w:rFonts w:ascii="System Font" w:hAnsi="System Font" w:cs="System Font"/>
          <w:color w:val="131519"/>
          <w:sz w:val="19"/>
          <w:szCs w:val="19"/>
          <w:lang w:val="de-DE"/>
        </w:rPr>
        <w:t xml:space="preserve"> [</w:t>
      </w:r>
      <w:r w:rsidR="003D2EF7" w:rsidRPr="008D4D58">
        <w:rPr>
          <w:b/>
          <w:bCs/>
          <w:sz w:val="19"/>
          <w:szCs w:val="19"/>
          <w:lang w:val="de-DE"/>
        </w:rPr>
        <w:t>k</w:t>
      </w:r>
      <w:r w:rsidR="003D2EF7">
        <w:rPr>
          <w:b/>
          <w:bCs/>
          <w:sz w:val="19"/>
          <w:szCs w:val="19"/>
          <w:lang w:val="de-DE"/>
        </w:rPr>
        <w:t>urz</w:t>
      </w:r>
      <w:r w:rsidR="003D2EF7">
        <w:rPr>
          <w:rFonts w:ascii="System Font" w:hAnsi="System Font" w:cs="System Font"/>
          <w:color w:val="131519"/>
          <w:sz w:val="19"/>
          <w:szCs w:val="19"/>
          <w:lang w:val="de-DE"/>
        </w:rPr>
        <w:t xml:space="preserve">: </w:t>
      </w:r>
      <w:r w:rsidR="003D2EF7">
        <w:rPr>
          <w:sz w:val="19"/>
          <w:szCs w:val="19"/>
        </w:rPr>
        <w:t>759bc4c4</w:t>
      </w:r>
      <w:r w:rsidR="003D2EF7">
        <w:rPr>
          <w:rFonts w:ascii="System Font" w:hAnsi="System Font" w:cs="System Font"/>
          <w:color w:val="131519"/>
          <w:sz w:val="19"/>
          <w:szCs w:val="19"/>
          <w:lang w:val="de-DE"/>
        </w:rPr>
        <w:t>]</w:t>
      </w:r>
      <w:r w:rsidR="003D2EF7">
        <w:rPr>
          <w:b/>
          <w:bCs/>
          <w:sz w:val="19"/>
          <w:szCs w:val="19"/>
        </w:rPr>
        <w:t xml:space="preserve"> </w:t>
      </w:r>
      <w:r>
        <w:rPr>
          <w:sz w:val="19"/>
          <w:szCs w:val="19"/>
        </w:rPr>
        <w:t>/ GZ R20-511.03 IFG 123-2026); Untätigkeit; Sicherung von Beweismitteln (Metadaten).</w:t>
      </w:r>
    </w:p>
    <w:p w14:paraId="5C540E98" w14:textId="77777777" w:rsidR="002E6155" w:rsidRPr="00EE7F0D" w:rsidRDefault="00842DFD">
      <w:pPr>
        <w:pBdr>
          <w:left w:val="single" w:sz="8" w:space="8" w:color="6B7280"/>
        </w:pBdr>
        <w:spacing w:before="34" w:after="34"/>
        <w:ind w:left="300" w:right="300"/>
        <w:rPr>
          <w:lang w:val="de-DE"/>
        </w:rPr>
      </w:pPr>
      <w:r>
        <w:rPr>
          <w:b/>
          <w:bCs/>
          <w:sz w:val="19"/>
          <w:szCs w:val="19"/>
        </w:rPr>
        <w:t>A. Anträge</w:t>
      </w:r>
    </w:p>
    <w:p w14:paraId="1FC0CCF0" w14:textId="77777777" w:rsidR="002E6155" w:rsidRDefault="00842DFD">
      <w:pPr>
        <w:pBdr>
          <w:left w:val="single" w:sz="8" w:space="8" w:color="6B7280"/>
        </w:pBdr>
        <w:spacing w:before="34" w:after="34"/>
        <w:ind w:left="300" w:right="300"/>
      </w:pPr>
      <w:r>
        <w:rPr>
          <w:sz w:val="19"/>
          <w:szCs w:val="19"/>
        </w:rPr>
        <w:t>Im Wege der einstweiligen Anordnung (§ 123 VwGO) beantrage ich:</w:t>
      </w:r>
    </w:p>
    <w:p w14:paraId="4282E65C" w14:textId="77777777" w:rsidR="002E6155" w:rsidRDefault="00842DFD">
      <w:pPr>
        <w:pBdr>
          <w:left w:val="single" w:sz="8" w:space="8" w:color="6B7280"/>
        </w:pBdr>
        <w:spacing w:before="34" w:after="34"/>
        <w:ind w:left="300" w:right="300"/>
      </w:pPr>
      <w:r>
        <w:rPr>
          <w:sz w:val="19"/>
          <w:szCs w:val="19"/>
        </w:rPr>
        <w:t>1. Der Antragsgegnerin wird aufgegeben, es bis zum rechtskräftigen Abschluss des Hauptsacheverfahrens zu unterlassen, sämtliche den Vorgang 759bc4c4 betreffenden Daten und Metadaten — insbesondere die als „privileged“ geführten Anhänge sowie alle Zugriffs-, Bearbeitungs- und Statusänderungsprotokolle des Systems FACIL — zu löschen, zu verändern, zu überschreiben oder umzuklassifizieren (Sicherung des Status quo).</w:t>
      </w:r>
    </w:p>
    <w:p w14:paraId="32CC22BA" w14:textId="77777777" w:rsidR="002E6155" w:rsidRDefault="00842DFD">
      <w:pPr>
        <w:pBdr>
          <w:left w:val="single" w:sz="8" w:space="8" w:color="6B7280"/>
        </w:pBdr>
        <w:spacing w:before="34" w:after="34"/>
        <w:ind w:left="300" w:right="300"/>
      </w:pPr>
      <w:r>
        <w:rPr>
          <w:sz w:val="19"/>
          <w:szCs w:val="19"/>
        </w:rPr>
        <w:t>2. Der Antragsgegnerin wird aufgegeben, die vollständige und unveränderte Sicherung dieser Daten und Metadaten gegenüber dem Gericht binnen einer vom Gericht zu bestimmenden kurzen Frist schriftlich zu bestätigen.</w:t>
      </w:r>
    </w:p>
    <w:p w14:paraId="5C5D0219" w14:textId="77777777" w:rsidR="002E6155" w:rsidRDefault="00842DFD">
      <w:pPr>
        <w:pBdr>
          <w:left w:val="single" w:sz="8" w:space="8" w:color="6B7280"/>
        </w:pBdr>
        <w:spacing w:before="34" w:after="34"/>
        <w:ind w:left="300" w:right="300"/>
      </w:pPr>
      <w:r>
        <w:rPr>
          <w:sz w:val="19"/>
          <w:szCs w:val="19"/>
        </w:rPr>
        <w:t>In der Hauptsache beantrage ich:</w:t>
      </w:r>
    </w:p>
    <w:p w14:paraId="772672B0" w14:textId="77777777" w:rsidR="002E6155" w:rsidRDefault="00842DFD">
      <w:pPr>
        <w:pBdr>
          <w:left w:val="single" w:sz="8" w:space="8" w:color="6B7280"/>
        </w:pBdr>
        <w:spacing w:before="34" w:after="34"/>
        <w:ind w:left="300" w:right="300"/>
      </w:pPr>
      <w:r>
        <w:rPr>
          <w:sz w:val="19"/>
          <w:szCs w:val="19"/>
        </w:rPr>
        <w:t>3. Die Beklagte wird verurteilt, über die Punkte 1.1, 1.2, 1.4 und 1.5 meines Antrags vom 19.04.2026 sowie über meinen Widerspruch vom 08.06.2026 zu entscheiden und mir Zugang zu den als nicht geheim eingestuften Unterlagen und Metadaten zum Vorgang 759bc4c4 zu gewähren (§ 1 Abs. 1 IFG).</w:t>
      </w:r>
    </w:p>
    <w:p w14:paraId="190AC293" w14:textId="77777777" w:rsidR="002E6155" w:rsidRDefault="00842DFD">
      <w:pPr>
        <w:pBdr>
          <w:left w:val="single" w:sz="8" w:space="8" w:color="6B7280"/>
        </w:pBdr>
        <w:spacing w:before="34" w:after="34"/>
        <w:ind w:left="300" w:right="300"/>
      </w:pPr>
      <w:r>
        <w:rPr>
          <w:sz w:val="19"/>
          <w:szCs w:val="19"/>
        </w:rPr>
        <w:t>4. Hilfsweise wird festgestellt, dass die Untätigkeit der Beklagten rechtswidrig ist.</w:t>
      </w:r>
    </w:p>
    <w:p w14:paraId="4CD745F6" w14:textId="77777777" w:rsidR="002E6155" w:rsidRDefault="00842DFD">
      <w:pPr>
        <w:pBdr>
          <w:left w:val="single" w:sz="8" w:space="8" w:color="6B7280"/>
        </w:pBdr>
        <w:spacing w:before="34" w:after="34"/>
        <w:ind w:left="300" w:right="300"/>
      </w:pPr>
      <w:r>
        <w:rPr>
          <w:b/>
          <w:bCs/>
          <w:sz w:val="19"/>
          <w:szCs w:val="19"/>
        </w:rPr>
        <w:t>B. Zulässigkeit — Überwindung der Sperrfrist (§ 75 VwGO)</w:t>
      </w:r>
    </w:p>
    <w:p w14:paraId="79A3CFEC" w14:textId="77777777" w:rsidR="002E6155" w:rsidRDefault="00842DFD">
      <w:pPr>
        <w:pBdr>
          <w:left w:val="single" w:sz="8" w:space="8" w:color="6B7280"/>
        </w:pBdr>
        <w:spacing w:before="34" w:after="34"/>
        <w:ind w:left="300" w:right="300"/>
      </w:pPr>
      <w:r>
        <w:rPr>
          <w:sz w:val="19"/>
          <w:szCs w:val="19"/>
        </w:rPr>
        <w:t>Die Klage ist ausnahmsweise vor Ablauf der Drei-Monats-Frist zulässig, da zwingende Gründe im Sinne des § 75 Satz 2 VwGO vorliegen:</w:t>
      </w:r>
    </w:p>
    <w:p w14:paraId="1C6C7D9C" w14:textId="77777777" w:rsidR="002E6155" w:rsidRDefault="00842DFD">
      <w:pPr>
        <w:pBdr>
          <w:left w:val="single" w:sz="8" w:space="8" w:color="6B7280"/>
        </w:pBdr>
        <w:spacing w:before="34" w:after="34"/>
        <w:ind w:left="300" w:right="300"/>
      </w:pPr>
      <w:r>
        <w:rPr>
          <w:sz w:val="19"/>
          <w:szCs w:val="19"/>
        </w:rPr>
        <w:t>(1) Beweismittelgefährdung (Metadaten): Die für den Nachweis eines möglichen Dienstvergehens bzw. einer Straftat entscheidenden Metadaten (Zugriffs- und Statusprotokolle in FACIL) befinden sich ausschließlich in der Sphäre der Beklagten. Der Antragsteller hat diese Metadaten — anders als die inhaltlichen Dokumente — nicht sichern können. Die Beklagte hat in ihrer eigenen internen Weiterleitung eine Anweisung dokumentiert, Anlagen zu löschen, und teilt mit, Vorgänge würden „ungelesen geschlossen“. Es besteht daher die konkrete Gefahr, dass diese Metadaten im Wege „routinemäßiger“ Löschung unwiederbringlich vernichtet werden. Ohne sofortige Sicherung droht der endgültige Verlust des Beweismittels (Beweisvereitelung; vgl. § 274 StGB).</w:t>
      </w:r>
    </w:p>
    <w:p w14:paraId="091B7A4E" w14:textId="77777777" w:rsidR="002E6155" w:rsidRDefault="00842DFD">
      <w:pPr>
        <w:pBdr>
          <w:left w:val="single" w:sz="8" w:space="8" w:color="6B7280"/>
        </w:pBdr>
        <w:spacing w:before="34" w:after="34"/>
        <w:ind w:left="300" w:right="300"/>
      </w:pPr>
      <w:r>
        <w:rPr>
          <w:sz w:val="19"/>
          <w:szCs w:val="19"/>
        </w:rPr>
        <w:t>(2) Andauernde Grundrechtsverletzung: Der Vorgang ist seit dem 22.09.2025 (rund elf Monate) ohne Sachentscheidung. Es geht um eine fortdauernde Menschenrechtsgefährdung sowie um den Kern der Menschenwürde (Art. 1 Abs. 1 GG) im besonderen Kontext eines Nachkommen eines Shoah-Überlebenden, dem die Bundesrepublik Wiedergutmachung geleistet hat. Ein weiteres Zuwarten über drei Monate ist unzumutbar.</w:t>
      </w:r>
    </w:p>
    <w:p w14:paraId="7E2FB163" w14:textId="77777777" w:rsidR="002E6155" w:rsidRDefault="00842DFD">
      <w:pPr>
        <w:pBdr>
          <w:left w:val="single" w:sz="8" w:space="8" w:color="6B7280"/>
        </w:pBdr>
        <w:spacing w:before="34" w:after="34"/>
        <w:ind w:left="300" w:right="300"/>
      </w:pPr>
      <w:r>
        <w:rPr>
          <w:sz w:val="19"/>
          <w:szCs w:val="19"/>
        </w:rPr>
        <w:t>(3) Effektiver Rechtsschutz (Art. 19 Abs. 4 GG): Würde der Antragsteller auf den Ablauf der Sperrfrist verwiesen, während die entscheidenden Metadaten zwischenzeitlich gelöscht werden, liefe sein Recht auf effektiven Rechtsschutz leer.</w:t>
      </w:r>
    </w:p>
    <w:p w14:paraId="06B525DE" w14:textId="77777777" w:rsidR="002E6155" w:rsidRDefault="00842DFD">
      <w:pPr>
        <w:pBdr>
          <w:left w:val="single" w:sz="8" w:space="8" w:color="6B7280"/>
        </w:pBdr>
        <w:spacing w:before="34" w:after="34"/>
        <w:ind w:left="300" w:right="300"/>
      </w:pPr>
      <w:r>
        <w:rPr>
          <w:sz w:val="19"/>
          <w:szCs w:val="19"/>
        </w:rPr>
        <w:t>(4) Schwere des Eingriffs / Systemversagen: Der Kläger ist deutscher und israelischer Staatsbürger und Enkel eines Shoah-Überlebenden. Das elfmonatige Ausbleiben jeder Sachentscheidung in einem Vorgang, der die dokumentierte Familiengeschichte der Shoah mit einer akuten Menschenrechtsgefährdung verbindet, wiegt so schwer, dass sich für den Kläger ernsthaft die Frage stellt, ob er den diplomatischen Beistand des Staates Israel in Anspruch nehmen muss, um in der Bundesrepublik Deutschland elementare Grundrechte (Art. 1 Abs. 1 GG) durchzusetzen. Dieser Umstand wird nicht als rechtlicher Anspruch gegen das Gericht geltend gemacht, sondern verdeutlicht die Schwere und Dringlichkeit, die ein weiteres Zuwarten unzumutbar macht.</w:t>
      </w:r>
    </w:p>
    <w:p w14:paraId="6E7A75B6" w14:textId="77777777" w:rsidR="002E6155" w:rsidRDefault="00842DFD">
      <w:pPr>
        <w:pBdr>
          <w:left w:val="single" w:sz="8" w:space="8" w:color="6B7280"/>
        </w:pBdr>
        <w:spacing w:before="34" w:after="34"/>
        <w:ind w:left="300" w:right="300"/>
      </w:pPr>
      <w:r>
        <w:rPr>
          <w:b/>
          <w:bCs/>
          <w:sz w:val="19"/>
          <w:szCs w:val="19"/>
        </w:rPr>
        <w:t>C. Anordnungsanspruch und Anordnungsgrund (zum Eilantrag)</w:t>
      </w:r>
    </w:p>
    <w:p w14:paraId="6B02AC91" w14:textId="77777777" w:rsidR="002E6155" w:rsidRDefault="00842DFD">
      <w:pPr>
        <w:pBdr>
          <w:left w:val="single" w:sz="8" w:space="8" w:color="6B7280"/>
        </w:pBdr>
        <w:spacing w:before="34" w:after="34"/>
        <w:ind w:left="300" w:right="300"/>
      </w:pPr>
      <w:r>
        <w:rPr>
          <w:sz w:val="19"/>
          <w:szCs w:val="19"/>
        </w:rPr>
        <w:lastRenderedPageBreak/>
        <w:t>Anordnungsanspruch: Der Anspruch auf Sicherung folgt aus dem Informationszugangsanspruch (§ 1 IFG) i.V.m. dem Gebot effektiven Rechtsschutzes (Art. 19 Abs. 4 GG) und der Pflicht der Behörde zur ordnungsgemäßen Aktenführung (Aufbewahrungspflichten, Bundesarchivgesetz). Wer Zugang zu Unterlagen verlangt, muss verhindern können, dass diese vor der gerichtlichen Klärung vernichtet werden.</w:t>
      </w:r>
    </w:p>
    <w:p w14:paraId="60A334C7" w14:textId="77777777" w:rsidR="002E6155" w:rsidRDefault="00842DFD">
      <w:pPr>
        <w:pBdr>
          <w:left w:val="single" w:sz="8" w:space="8" w:color="6B7280"/>
        </w:pBdr>
        <w:spacing w:before="34" w:after="34"/>
        <w:ind w:left="300" w:right="300"/>
      </w:pPr>
      <w:r>
        <w:rPr>
          <w:sz w:val="19"/>
          <w:szCs w:val="19"/>
        </w:rPr>
        <w:t>Anordnungsgrund: Es wird ausdrücklich nur die Sicherung (Einfrieren) des Status quo begehrt, nicht die Vorwegnahme der Hauptsache. Die Eilbedürftigkeit ergibt sich aus der dokumentierten Löschungsanweisung der Beklagten und der Praxis, Vorgänge „ungelesen“ zu schließen. Eine Sicherungsanordnung greift nicht in die inhaltliche Entscheidung ein, sondern bewahrt allein die Entscheidungsgrundlage. Der Antragsteller hat mit Schreiben vom 24.06.2026 erfolglos um eine Bestätigung der Datenintegrität gebeten.</w:t>
      </w:r>
    </w:p>
    <w:p w14:paraId="702CAB1B" w14:textId="77777777" w:rsidR="002E6155" w:rsidRDefault="00842DFD">
      <w:pPr>
        <w:pBdr>
          <w:left w:val="single" w:sz="8" w:space="8" w:color="6B7280"/>
        </w:pBdr>
        <w:spacing w:before="34" w:after="34"/>
        <w:ind w:left="300" w:right="300"/>
      </w:pPr>
      <w:r>
        <w:rPr>
          <w:b/>
          <w:bCs/>
          <w:sz w:val="19"/>
          <w:szCs w:val="19"/>
        </w:rPr>
        <w:t>D. Begründung der Hauptsache</w:t>
      </w:r>
    </w:p>
    <w:p w14:paraId="7CAD0B76" w14:textId="77777777" w:rsidR="002E6155" w:rsidRDefault="00842DFD">
      <w:pPr>
        <w:pBdr>
          <w:left w:val="single" w:sz="8" w:space="8" w:color="6B7280"/>
        </w:pBdr>
        <w:spacing w:before="34" w:after="34"/>
        <w:ind w:left="300" w:right="300"/>
      </w:pPr>
      <w:r>
        <w:rPr>
          <w:sz w:val="19"/>
          <w:szCs w:val="19"/>
        </w:rPr>
        <w:t>Der Bescheid vom 12.05.2026 („keine amtlichen Informationen“) widerspricht der eigenen Aktenlage der Beklagten: über 30 als „privileged“ geführte Anhänge, ein namentlicher Bearbeiter (dirk.hennig@diplo.de) und eine interne FACIL-Weiterleitung belegen das Vorhandensein amtlicher Informationen. Über die Antragspunkte 1.1, 1.2, 1.4 und 1.5 (vom 19.04.2026) wurde bis heute nicht entschieden (§ 39 VwVfG). Die Beklagte hat zudem entgegen ihrer eigenen Empfehlung (Verweis auf die HRMMU am 20.11.2025) keine Weiterleitung vorgenommen (§ 25 VwVfG) und trotz Kenntnis des Schutzkontextes keine Schutzpflichtenprüfung dokumentiert (Art. 1 GG, Art. 3 EMRK).</w:t>
      </w:r>
    </w:p>
    <w:p w14:paraId="159DBA5C" w14:textId="77777777" w:rsidR="002E6155" w:rsidRDefault="00842DFD">
      <w:pPr>
        <w:pBdr>
          <w:left w:val="single" w:sz="8" w:space="8" w:color="6B7280"/>
        </w:pBdr>
        <w:spacing w:before="34" w:after="34"/>
        <w:ind w:left="300" w:right="300"/>
      </w:pPr>
      <w:r>
        <w:rPr>
          <w:b/>
          <w:bCs/>
          <w:sz w:val="19"/>
          <w:szCs w:val="19"/>
        </w:rPr>
        <w:t>E. Hinweis: Verfahren als öffentlicher wissenschaftlich-künstlerischer Audit (Art. 5 Abs. 3 GG)</w:t>
      </w:r>
    </w:p>
    <w:p w14:paraId="5F032513" w14:textId="77777777" w:rsidR="002E6155" w:rsidRDefault="00842DFD">
      <w:pPr>
        <w:pBdr>
          <w:left w:val="single" w:sz="8" w:space="8" w:color="6B7280"/>
        </w:pBdr>
        <w:spacing w:before="34" w:after="34"/>
        <w:ind w:left="300" w:right="300"/>
      </w:pPr>
      <w:r>
        <w:rPr>
          <w:sz w:val="19"/>
          <w:szCs w:val="19"/>
        </w:rPr>
        <w:t>Der Antragsteller weist darauf hin, dass dieses Verfahren Teil eines öffentlich dokumentierten, reproduzierbaren wissenschaftlich-künstlerischen Audits demokratischer Institutionen ist (Art. 5 Abs. 3 GG — Wissenschafts- und Kunstfreiheit). Methodik und Daten sind öffentlich nachvollziehbar archiviert. Dieser Hinweis dient der Transparenz und berührt nicht die Sachprüfung.</w:t>
      </w:r>
    </w:p>
    <w:p w14:paraId="16B238F3" w14:textId="77777777" w:rsidR="002E6155" w:rsidRDefault="00842DFD">
      <w:pPr>
        <w:pBdr>
          <w:left w:val="single" w:sz="8" w:space="8" w:color="6B7280"/>
        </w:pBdr>
        <w:spacing w:before="34" w:after="34"/>
        <w:ind w:left="300" w:right="300"/>
      </w:pPr>
      <w:r>
        <w:rPr>
          <w:b/>
          <w:bCs/>
          <w:sz w:val="19"/>
          <w:szCs w:val="19"/>
        </w:rPr>
        <w:t>F. Beweismittel / Anlagen</w:t>
      </w:r>
    </w:p>
    <w:p w14:paraId="4E3F7D18" w14:textId="409E3AF3" w:rsidR="002E6155" w:rsidRDefault="00CD107F">
      <w:pPr>
        <w:pBdr>
          <w:left w:val="single" w:sz="8" w:space="8" w:color="6B7280"/>
        </w:pBdr>
        <w:spacing w:before="34" w:after="34"/>
        <w:ind w:left="300" w:right="300"/>
        <w:rPr>
          <w:sz w:val="19"/>
          <w:szCs w:val="19"/>
        </w:rPr>
      </w:pPr>
      <w:r w:rsidRPr="00CD107F">
        <w:rPr>
          <w:sz w:val="19"/>
          <w:szCs w:val="19"/>
          <w:lang w:val="de-DE"/>
        </w:rPr>
        <w:t>K</w:t>
      </w:r>
      <w:r>
        <w:rPr>
          <w:sz w:val="19"/>
          <w:szCs w:val="19"/>
          <w:lang w:val="de-DE"/>
        </w:rPr>
        <w:t xml:space="preserve">0 </w:t>
      </w:r>
      <w:r w:rsidR="0093792E" w:rsidRPr="0093792E">
        <w:rPr>
          <w:sz w:val="19"/>
          <w:szCs w:val="19"/>
          <w:lang w:val="de-DE"/>
        </w:rPr>
        <w:t>Dienstaufsichtsbeschwerde</w:t>
      </w:r>
      <w:r w:rsidR="0093792E">
        <w:rPr>
          <w:sz w:val="19"/>
          <w:szCs w:val="19"/>
          <w:lang w:val="de-DE"/>
        </w:rPr>
        <w:t xml:space="preserve"> vom 21.09.2025 22:44; </w:t>
      </w:r>
      <w:r w:rsidR="00842DFD">
        <w:rPr>
          <w:sz w:val="19"/>
          <w:szCs w:val="19"/>
        </w:rPr>
        <w:t>K1 Bescheid vom 12.05.2026; K2 Antrag vom 19.04.2026; K3 Widerspruch vom 08.06.2026; K4 Zwischenbescheid vom 15.06.2026; K5 Ticket-Übersicht mit Anhangsliste („privileged“); K6 interne FACIL-Weiterleitung vom 22.10.2025; K7 Abmahnung vom 24.06.2026; K8 reproduzierbare Analyse (README)</w:t>
      </w:r>
      <w:r w:rsidR="005365AB" w:rsidRPr="005365AB">
        <w:rPr>
          <w:sz w:val="19"/>
          <w:szCs w:val="19"/>
          <w:lang w:val="de-DE"/>
        </w:rPr>
        <w:t xml:space="preserve">; </w:t>
      </w:r>
      <w:r w:rsidR="005365AB">
        <w:rPr>
          <w:sz w:val="19"/>
          <w:szCs w:val="19"/>
          <w:lang w:val="de-DE"/>
        </w:rPr>
        <w:t xml:space="preserve">K9 </w:t>
      </w:r>
      <w:proofErr w:type="spellStart"/>
      <w:r w:rsidR="005365AB">
        <w:rPr>
          <w:sz w:val="19"/>
          <w:szCs w:val="19"/>
          <w:lang w:val="de-DE"/>
        </w:rPr>
        <w:t>Misc</w:t>
      </w:r>
      <w:proofErr w:type="spellEnd"/>
      <w:r w:rsidR="00842DFD">
        <w:rPr>
          <w:sz w:val="19"/>
          <w:szCs w:val="19"/>
        </w:rPr>
        <w:t>.</w:t>
      </w:r>
    </w:p>
    <w:p w14:paraId="0B06034D" w14:textId="77777777" w:rsidR="00EE7F0D" w:rsidRPr="00EE7F0D" w:rsidRDefault="00EE7F0D" w:rsidP="00EE7F0D">
      <w:pPr>
        <w:pBdr>
          <w:left w:val="single" w:sz="8" w:space="8" w:color="6B7280"/>
        </w:pBdr>
        <w:spacing w:before="34" w:after="34"/>
        <w:ind w:left="300" w:right="300"/>
        <w:rPr>
          <w:b/>
          <w:bCs/>
          <w:sz w:val="19"/>
          <w:szCs w:val="19"/>
        </w:rPr>
      </w:pPr>
      <w:r w:rsidRPr="00EE7F0D">
        <w:rPr>
          <w:b/>
          <w:bCs/>
          <w:sz w:val="19"/>
          <w:szCs w:val="19"/>
        </w:rPr>
        <w:t>G. Digitale Beweissicherung und Prozess-Transparenz</w:t>
      </w:r>
    </w:p>
    <w:p w14:paraId="6181EA98" w14:textId="77777777" w:rsidR="00EE7F0D" w:rsidRPr="00EE7F0D" w:rsidRDefault="00EE7F0D" w:rsidP="00EE7F0D">
      <w:pPr>
        <w:pBdr>
          <w:left w:val="single" w:sz="8" w:space="8" w:color="6B7280"/>
        </w:pBdr>
        <w:spacing w:before="34" w:after="34"/>
        <w:ind w:left="300" w:right="300"/>
        <w:rPr>
          <w:sz w:val="19"/>
          <w:szCs w:val="19"/>
        </w:rPr>
      </w:pPr>
      <w:r w:rsidRPr="00EE7F0D">
        <w:rPr>
          <w:sz w:val="19"/>
          <w:szCs w:val="19"/>
        </w:rPr>
        <w:t>Zur Gewährleistung vollständiger Transparenz und fälschungssicherer Dokumentation sind sämtliche verfahrensrelevanten Dokumente, erweiterten Metadaten sowie der vollständige Schriftwechsel dauerhaft digital fixiert und unter folgenden Adressen öffentlich abrufbar:</w:t>
      </w:r>
    </w:p>
    <w:p w14:paraId="515B600E" w14:textId="7F42986D" w:rsidR="00EE7F0D" w:rsidRPr="00EE7F0D" w:rsidRDefault="00EE7F0D" w:rsidP="00EE7F0D">
      <w:pPr>
        <w:pBdr>
          <w:left w:val="single" w:sz="8" w:space="8" w:color="6B7280"/>
        </w:pBdr>
        <w:spacing w:before="34" w:after="34"/>
        <w:ind w:left="300" w:right="300"/>
        <w:rPr>
          <w:sz w:val="19"/>
          <w:szCs w:val="19"/>
        </w:rPr>
      </w:pPr>
      <w:r w:rsidRPr="00EE7F0D">
        <w:rPr>
          <w:sz w:val="19"/>
          <w:szCs w:val="19"/>
          <w:lang w:val="de-DE"/>
        </w:rPr>
        <w:t>1.</w:t>
      </w:r>
      <w:r w:rsidRPr="00EE7F0D">
        <w:rPr>
          <w:sz w:val="19"/>
          <w:szCs w:val="19"/>
        </w:rPr>
        <w:t xml:space="preserve">    Dokumentation von Menschenrechtsverletzungen (seit 09/2025) sowie Korrespondenz und Metadaten mit dem Auswärtigen Amt u.a.:</w:t>
      </w:r>
    </w:p>
    <w:p w14:paraId="3980E85B" w14:textId="77777777" w:rsidR="00EE7F0D" w:rsidRPr="00EE7F0D" w:rsidRDefault="00EE7F0D" w:rsidP="00EE7F0D">
      <w:pPr>
        <w:pBdr>
          <w:left w:val="single" w:sz="8" w:space="8" w:color="6B7280"/>
        </w:pBdr>
        <w:spacing w:before="34" w:after="34"/>
        <w:ind w:left="300" w:right="300"/>
        <w:rPr>
          <w:sz w:val="19"/>
          <w:szCs w:val="19"/>
        </w:rPr>
      </w:pPr>
      <w:r w:rsidRPr="00EE7F0D">
        <w:rPr>
          <w:sz w:val="19"/>
          <w:szCs w:val="19"/>
        </w:rPr>
        <w:t xml:space="preserve">    https://codeberg.org/skovnats/SVE-Systemic-Verification-Engineering/src/branch/master/Community/OpenLetters/DE</w:t>
      </w:r>
    </w:p>
    <w:p w14:paraId="215EBAC9" w14:textId="77777777" w:rsidR="00EE7F0D" w:rsidRPr="00EE7F0D" w:rsidRDefault="00EE7F0D" w:rsidP="00EE7F0D">
      <w:pPr>
        <w:pBdr>
          <w:left w:val="single" w:sz="8" w:space="8" w:color="6B7280"/>
        </w:pBdr>
        <w:spacing w:before="34" w:after="34"/>
        <w:ind w:left="300" w:right="300"/>
        <w:rPr>
          <w:sz w:val="19"/>
          <w:szCs w:val="19"/>
        </w:rPr>
      </w:pPr>
    </w:p>
    <w:p w14:paraId="4A306EAF" w14:textId="4C6309AF" w:rsidR="00EE7F0D" w:rsidRPr="00EE7F0D" w:rsidRDefault="00EE7F0D" w:rsidP="00EE7F0D">
      <w:pPr>
        <w:pBdr>
          <w:left w:val="single" w:sz="8" w:space="8" w:color="6B7280"/>
        </w:pBdr>
        <w:spacing w:before="34" w:after="34"/>
        <w:ind w:left="300" w:right="300"/>
        <w:rPr>
          <w:sz w:val="19"/>
          <w:szCs w:val="19"/>
        </w:rPr>
      </w:pPr>
      <w:r w:rsidRPr="00EE7F0D">
        <w:rPr>
          <w:sz w:val="19"/>
          <w:szCs w:val="19"/>
          <w:lang w:val="de-DE"/>
        </w:rPr>
        <w:t>2.</w:t>
      </w:r>
      <w:r w:rsidRPr="00EE7F0D">
        <w:rPr>
          <w:sz w:val="19"/>
          <w:szCs w:val="19"/>
        </w:rPr>
        <w:t xml:space="preserve">    Dokumentation und Metadaten zur Solo-Performance (Berlin, Bundestag):</w:t>
      </w:r>
    </w:p>
    <w:p w14:paraId="2268D19B" w14:textId="3F131C38" w:rsidR="00EE7F0D" w:rsidRPr="00EE7F0D" w:rsidRDefault="00EE7F0D" w:rsidP="00EE7F0D">
      <w:pPr>
        <w:pBdr>
          <w:left w:val="single" w:sz="8" w:space="8" w:color="6B7280"/>
        </w:pBdr>
        <w:spacing w:before="34" w:after="34"/>
        <w:ind w:left="300" w:right="300"/>
        <w:rPr>
          <w:sz w:val="19"/>
          <w:szCs w:val="19"/>
        </w:rPr>
      </w:pPr>
      <w:r w:rsidRPr="00EE7F0D">
        <w:rPr>
          <w:sz w:val="19"/>
          <w:szCs w:val="19"/>
        </w:rPr>
        <w:t xml:space="preserve">    https://codeberg.org/skovnats/SVE-Systemic-Verification-Engineering/src/branch/master/Community/19112025_Berlin_Bundestag_SoloPerformance</w:t>
      </w:r>
    </w:p>
    <w:p w14:paraId="74AEF21C" w14:textId="77777777" w:rsidR="002E6155" w:rsidRDefault="002E6155">
      <w:pPr>
        <w:spacing w:before="8"/>
      </w:pPr>
    </w:p>
    <w:p w14:paraId="171AB3CA" w14:textId="5DD65016" w:rsidR="002E6155" w:rsidRDefault="00842DFD" w:rsidP="00887F43">
      <w:pPr>
        <w:pBdr>
          <w:left w:val="single" w:sz="8" w:space="8" w:color="6B7280"/>
        </w:pBdr>
        <w:spacing w:before="34" w:after="34"/>
        <w:ind w:left="300" w:right="300"/>
      </w:pPr>
      <w:r>
        <w:rPr>
          <w:sz w:val="19"/>
          <w:szCs w:val="19"/>
        </w:rPr>
        <w:t xml:space="preserve">Dr. Artiom </w:t>
      </w:r>
      <w:r w:rsidR="00716CF2">
        <w:rPr>
          <w:sz w:val="19"/>
          <w:szCs w:val="19"/>
          <w:lang w:val="en-US"/>
        </w:rPr>
        <w:t xml:space="preserve">A. </w:t>
      </w:r>
      <w:r>
        <w:rPr>
          <w:sz w:val="19"/>
          <w:szCs w:val="19"/>
        </w:rPr>
        <w:t>Kovnatsky</w:t>
      </w:r>
    </w:p>
    <w:sectPr w:rsidR="002E6155">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07CE2" w14:textId="77777777" w:rsidR="0064422E" w:rsidRDefault="0064422E">
      <w:r>
        <w:separator/>
      </w:r>
    </w:p>
  </w:endnote>
  <w:endnote w:type="continuationSeparator" w:id="0">
    <w:p w14:paraId="24DA5E98" w14:textId="77777777" w:rsidR="0064422E" w:rsidRDefault="00644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stem 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A4AB1" w14:textId="77777777" w:rsidR="0064422E" w:rsidRDefault="0064422E">
      <w:r>
        <w:separator/>
      </w:r>
    </w:p>
  </w:footnote>
  <w:footnote w:type="continuationSeparator" w:id="0">
    <w:p w14:paraId="686289C8" w14:textId="77777777" w:rsidR="0064422E" w:rsidRDefault="006442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C3233"/>
    <w:multiLevelType w:val="hybridMultilevel"/>
    <w:tmpl w:val="166480D8"/>
    <w:lvl w:ilvl="0" w:tplc="4F1E9804">
      <w:start w:val="1"/>
      <w:numFmt w:val="bullet"/>
      <w:lvlText w:val="●"/>
      <w:lvlJc w:val="left"/>
      <w:pPr>
        <w:ind w:left="720" w:hanging="360"/>
      </w:pPr>
    </w:lvl>
    <w:lvl w:ilvl="1" w:tplc="7E5E49B4">
      <w:start w:val="1"/>
      <w:numFmt w:val="bullet"/>
      <w:lvlText w:val="○"/>
      <w:lvlJc w:val="left"/>
      <w:pPr>
        <w:ind w:left="1440" w:hanging="360"/>
      </w:pPr>
    </w:lvl>
    <w:lvl w:ilvl="2" w:tplc="F222B412">
      <w:start w:val="1"/>
      <w:numFmt w:val="bullet"/>
      <w:lvlText w:val="■"/>
      <w:lvlJc w:val="left"/>
      <w:pPr>
        <w:ind w:left="2160" w:hanging="360"/>
      </w:pPr>
    </w:lvl>
    <w:lvl w:ilvl="3" w:tplc="8E26C7FA">
      <w:start w:val="1"/>
      <w:numFmt w:val="bullet"/>
      <w:lvlText w:val="●"/>
      <w:lvlJc w:val="left"/>
      <w:pPr>
        <w:ind w:left="2880" w:hanging="360"/>
      </w:pPr>
    </w:lvl>
    <w:lvl w:ilvl="4" w:tplc="55F62AFE">
      <w:start w:val="1"/>
      <w:numFmt w:val="bullet"/>
      <w:lvlText w:val="○"/>
      <w:lvlJc w:val="left"/>
      <w:pPr>
        <w:ind w:left="3600" w:hanging="360"/>
      </w:pPr>
    </w:lvl>
    <w:lvl w:ilvl="5" w:tplc="DB469AE0">
      <w:start w:val="1"/>
      <w:numFmt w:val="bullet"/>
      <w:lvlText w:val="■"/>
      <w:lvlJc w:val="left"/>
      <w:pPr>
        <w:ind w:left="4320" w:hanging="360"/>
      </w:pPr>
    </w:lvl>
    <w:lvl w:ilvl="6" w:tplc="20361D6A">
      <w:start w:val="1"/>
      <w:numFmt w:val="bullet"/>
      <w:lvlText w:val="●"/>
      <w:lvlJc w:val="left"/>
      <w:pPr>
        <w:ind w:left="5040" w:hanging="360"/>
      </w:pPr>
    </w:lvl>
    <w:lvl w:ilvl="7" w:tplc="D76ABFB0">
      <w:start w:val="1"/>
      <w:numFmt w:val="bullet"/>
      <w:lvlText w:val="●"/>
      <w:lvlJc w:val="left"/>
      <w:pPr>
        <w:ind w:left="5760" w:hanging="360"/>
      </w:pPr>
    </w:lvl>
    <w:lvl w:ilvl="8" w:tplc="5B6228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55"/>
    <w:rsid w:val="00046BD1"/>
    <w:rsid w:val="00111DC5"/>
    <w:rsid w:val="00210F20"/>
    <w:rsid w:val="00280C23"/>
    <w:rsid w:val="002E6155"/>
    <w:rsid w:val="003D2EF7"/>
    <w:rsid w:val="005365AB"/>
    <w:rsid w:val="0064422E"/>
    <w:rsid w:val="00716CF2"/>
    <w:rsid w:val="00842DFD"/>
    <w:rsid w:val="00887F43"/>
    <w:rsid w:val="0093792E"/>
    <w:rsid w:val="00C439AC"/>
    <w:rsid w:val="00CD107F"/>
    <w:rsid w:val="00D77071"/>
    <w:rsid w:val="00EE7F0D"/>
    <w:rsid w:val="00F402AB"/>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30DB5FD4"/>
  <w15:docId w15:val="{D91F82FF-2A90-2345-91EF-0471F711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7071"/>
    <w:pPr>
      <w:tabs>
        <w:tab w:val="center" w:pos="4513"/>
        <w:tab w:val="right" w:pos="9026"/>
      </w:tabs>
    </w:pPr>
  </w:style>
  <w:style w:type="character" w:customStyle="1" w:styleId="HeaderChar">
    <w:name w:val="Header Char"/>
    <w:basedOn w:val="DefaultParagraphFont"/>
    <w:link w:val="Header"/>
    <w:uiPriority w:val="99"/>
    <w:rsid w:val="00D77071"/>
  </w:style>
  <w:style w:type="paragraph" w:styleId="Footer">
    <w:name w:val="footer"/>
    <w:basedOn w:val="Normal"/>
    <w:link w:val="FooterChar"/>
    <w:uiPriority w:val="99"/>
    <w:unhideWhenUsed/>
    <w:rsid w:val="00D77071"/>
    <w:pPr>
      <w:tabs>
        <w:tab w:val="center" w:pos="4513"/>
        <w:tab w:val="right" w:pos="9026"/>
      </w:tabs>
    </w:pPr>
  </w:style>
  <w:style w:type="character" w:customStyle="1" w:styleId="FooterChar">
    <w:name w:val="Footer Char"/>
    <w:basedOn w:val="DefaultParagraphFont"/>
    <w:link w:val="Footer"/>
    <w:uiPriority w:val="99"/>
    <w:rsid w:val="00D77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14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13</cp:revision>
  <cp:lastPrinted>2026-06-21T12:12:00Z</cp:lastPrinted>
  <dcterms:created xsi:type="dcterms:W3CDTF">2026-06-19T09:12:00Z</dcterms:created>
  <dcterms:modified xsi:type="dcterms:W3CDTF">2026-06-21T12:17:00Z</dcterms:modified>
</cp:coreProperties>
</file>