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Klage – Verpflichtungsklage (VG Berlin)</w:t>
      </w:r>
    </w:p>
    <w:p>
      <w:pPr>
        <w:pBdr>
          <w:bottom w:val="single" w:color="1F3864" w:sz="8" w:space="1"/>
        </w:pBdr>
        <w:spacing w:after="15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F2F2F2" w:val="clear"/>
            <w:tcMar>
              <w:top w:type="dxa" w:w="120"/>
              <w:left w:type="dxa" w:w="160"/>
              <w:bottom w:type="dxa" w:w="120"/>
              <w:right w:type="dxa" w:w="160"/>
            </w:tcMar>
          </w:tcPr>
          <w:p>
            <w:pPr>
              <w:spacing w:after="80"/>
            </w:pPr>
            <w:r>
              <w:rPr>
                <w:b/>
                <w:bCs/>
              </w:rPr>
              <w:t xml:space="preserve">Rahmenhinweis (nicht Teil des einzureichenden Textes).</w:t>
            </w:r>
          </w:p>
          <w:p>
            <w:pPr>
              <w:spacing w:after="0" w:line="264"/>
            </w:pPr>
            <w:r>
              <w:t xml:space="preserve">Klageart: Verpflichtungsklage, § 42 Abs. 1 Alt. 2 i.V.m. § 113 Abs. 5 VwGO. Frist: § 74 Abs. 1 VwGO – ein Monat ab Zustellung des Widerspruchsbescheids; Zustellung ausweislich Postzustellungsurkunde am 2. Juli 2026, Fristende daher voraussichtlich 4. August 2026 (2. August = Sonntag, § 57 VwGO i.V.m. § 222 ZPO). Das genaue Zustellungsdatum ist der Urkunde zu entnehmen. Streitwert: Auffangwert 5.000 €.</w:t>
            </w:r>
          </w:p>
        </w:tc>
      </w:tr>
    </w:tbl>
    <w:p>
      <w:pPr>
        <w:spacing w:after="120"/>
      </w:pPr>
      <w:r>
        <w:t xml:space="preserve"/>
      </w:r>
    </w:p>
    <w:p>
      <w:pPr>
        <w:spacing w:after="0" w:line="264"/>
      </w:pPr>
      <w:r>
        <w:rPr>
          <w:b/>
          <w:bCs/>
        </w:rPr>
        <w:t xml:space="preserve">An das Verwaltungsgericht Berlin</w:t>
      </w:r>
    </w:p>
    <w:p>
      <w:pPr>
        <w:spacing w:after="150" w:line="264"/>
      </w:pPr>
      <w:r>
        <w:t xml:space="preserve">Kirchstraße 7, 10557 Berlin</w:t>
      </w:r>
    </w:p>
    <w:p>
      <w:pPr>
        <w:spacing w:after="40" w:line="264"/>
      </w:pPr>
      <w:r>
        <w:rPr>
          <w:b/>
          <w:bCs/>
        </w:rPr>
        <w:t xml:space="preserve">Klage</w:t>
      </w:r>
    </w:p>
    <w:p>
      <w:pPr>
        <w:spacing w:after="40" w:line="264"/>
      </w:pPr>
      <w:r>
        <w:t xml:space="preserve">des Herrn Dr. Artiom Kovnatsky, Dahlmannstr. 17, 10629 Berlin – Kläger –</w:t>
      </w:r>
    </w:p>
    <w:p>
      <w:pPr>
        <w:spacing w:after="40" w:line="264"/>
      </w:pPr>
      <w:r>
        <w:t xml:space="preserve">gegen die Bundesrepublik Deutschland, vertreten durch das Auswärtige Amt, Werderscher Markt 1, 10117 Berlin – Beklagte –</w:t>
      </w:r>
    </w:p>
    <w:p>
      <w:pPr>
        <w:spacing w:after="150" w:line="264"/>
      </w:pPr>
      <w:r>
        <w:t xml:space="preserve">wegen Informationszugang nach dem IFG (Vorgang 759bc4c4-387d-49e7-9e16-9a2b56c9da0e; Gz. der Behörde R20-511.03 IFG 123-2026).</w:t>
      </w:r>
    </w:p>
    <w:p>
      <w:pPr>
        <w:spacing w:after="130" w:line="264"/>
      </w:pPr>
      <w:r>
        <w:t xml:space="preserve">Namens des Klägers – hier: in eigener Sache – erhebe ich Klage und beantrage:</w:t>
      </w:r>
    </w:p>
    <w:p>
      <w:pPr>
        <w:spacing w:after="90" w:line="264"/>
      </w:pPr>
      <w:r>
        <w:rPr>
          <w:b/>
          <w:bCs/>
        </w:rPr>
        <w:t xml:space="preserve">A. Klageanträge</w:t>
      </w:r>
    </w:p>
    <w:p>
      <w:pPr>
        <w:spacing w:after="120" w:line="264"/>
        <w:ind w:left="540" w:hanging="540"/>
      </w:pPr>
      <w:r>
        <w:rPr>
          <w:b/>
          <w:bCs/>
        </w:rPr>
        <w:t xml:space="preserve">1.  </w:t>
      </w:r>
      <w:r>
        <w:t xml:space="preserve">Der Bescheid des Auswärtigen Amts vom 12. Mai 2026 (Gz. 505-511.03 IFG 123-2026) in Gestalt des Widerspruchsbescheids vom 2. Juli 2026 (Gz. R20-511.03 IFG 123-2026) wird aufgehoben, soweit der Zugang zu den unter Ziffer 2 bezeichneten Informationen abgelehnt wurde.</w:t>
      </w:r>
    </w:p>
    <w:p>
      <w:pPr>
        <w:spacing w:after="120" w:line="264"/>
        <w:ind w:left="540" w:hanging="540"/>
      </w:pPr>
      <w:r>
        <w:rPr>
          <w:b/>
          <w:bCs/>
        </w:rPr>
        <w:t xml:space="preserve">2.  </w:t>
      </w:r>
      <w:r>
        <w:t xml:space="preserve">Die Beklagte wird verpflichtet, dem Kläger nach § 1 Abs. 1 IFG Zugang zu den folgenden, im Anfragemanagementsystem FACIL vorhandenen amtlichen Informationen (§ 2 Nr. 1 IFG) zum Vorgang 759bc4c4-387d-49e7-9e16-9a2b56c9da0e zu gewähren:</w:t>
      </w:r>
    </w:p>
    <w:p>
      <w:pPr>
        <w:spacing w:after="100" w:line="260"/>
        <w:ind w:left="1080" w:hanging="400"/>
      </w:pPr>
      <w:r>
        <w:rPr>
          <w:b/>
          <w:bCs/>
        </w:rPr>
        <w:t xml:space="preserve">a)  </w:t>
      </w:r>
      <w:r>
        <w:t xml:space="preserve">die maschinell erzeugten Protokoll-/Log-Einträge zu Erstellung, Statusänderungen, Weiterleitung(en) und Schließung des Vorgangs, jeweils mit Datums- und Zeitstempel;</w:t>
      </w:r>
    </w:p>
    <w:p>
      <w:pPr>
        <w:spacing w:after="100" w:line="260"/>
        <w:ind w:left="1080" w:hanging="400"/>
      </w:pPr>
      <w:r>
        <w:rPr>
          <w:b/>
          <w:bCs/>
        </w:rPr>
        <w:t xml:space="preserve">b)  </w:t>
      </w:r>
      <w:r>
        <w:t xml:space="preserve">die im System hinterlegten Bearbeitungs- und Routing-Metadaten, namentlich die Bearbeiter- bzw. Postfach-Kennungen der befassten Organisationseinheiten (Bürgerservice/040; Referat 114; Länderreferat 206) sowie die Weiterleitungskennungen der internen Zuleitungen;</w:t>
      </w:r>
    </w:p>
    <w:p>
      <w:pPr>
        <w:spacing w:after="100" w:line="260"/>
        <w:ind w:left="1080" w:hanging="400"/>
      </w:pPr>
      <w:r>
        <w:rPr>
          <w:b/>
          <w:bCs/>
        </w:rPr>
        <w:t xml:space="preserve">c)  </w:t>
      </w:r>
      <w:r>
        <w:t xml:space="preserve">die Verfahrens-/Statusprotokolle zur automatisierten Bearbeitung des Vorgangs, einschließlich der protokollierten Auslösung, Anwendung oder Nichtanwendung automatisierter Standard-/Textbausteine (einschließlich Auto-Antwort und automatischer Schließung);</w:t>
      </w:r>
    </w:p>
    <w:p>
      <w:pPr>
        <w:spacing w:after="100" w:line="260"/>
        <w:ind w:left="1080" w:hanging="400"/>
      </w:pPr>
      <w:r>
        <w:rPr>
          <w:b/>
          <w:bCs/>
        </w:rPr>
        <w:t xml:space="preserve">d)  </w:t>
      </w:r>
      <w:r>
        <w:t xml:space="preserve">die Verwaltungsvorschrift(en), Dienstanweisung(en) bzw. Konfigurations- oder Regeldokumentation, die festlegen, nach welchen Kriterien Eingaben im System FACIL automatisiert geschlossen („ungelesen“) oder einer inhaltlichen Bearbeitung durch Bedienstete zugeführt werden; begehrt wird die Regelung in dokumentierter, menschenlesbarer Form, nicht der Programmcode als solcher.</w:t>
      </w:r>
    </w:p>
    <w:p>
      <w:pPr>
        <w:spacing w:after="120" w:line="264"/>
        <w:ind w:left="540" w:hanging="540"/>
      </w:pPr>
      <w:r>
        <w:rPr>
          <w:b/>
          <w:bCs/>
        </w:rPr>
        <w:t xml:space="preserve">3.  </w:t>
      </w:r>
      <w:r>
        <w:t xml:space="preserve">Der Widerspruchsbescheid vom 2. Juli 2026 wird auch insoweit aufgehoben, als darin eine Gebühr in Höhe von 30,00 € festgesetzt wurde.</w:t>
      </w:r>
    </w:p>
    <w:p>
      <w:pPr>
        <w:spacing w:after="120" w:line="264"/>
        <w:ind w:left="540" w:hanging="540"/>
      </w:pPr>
      <w:r>
        <w:rPr>
          <w:b/>
          <w:bCs/>
        </w:rPr>
        <w:t xml:space="preserve">4.  </w:t>
      </w:r>
      <w:r>
        <w:t xml:space="preserve">Hilfsweise zu 2.: Für den Fall, dass die Beklagte einzelne der begehrten Informationen als geheimhaltungsbedürftig einstuft, wird sie verpflichtet, für jede einzelne zurückgehaltene Information den konkreten Ausnahmetatbestand (§§ 3 bis 6 IFG) datensatzbezogen unter Angabe der tragenden Gründe zu bezeichnen.</w:t>
      </w:r>
    </w:p>
    <w:p>
      <w:pPr>
        <w:spacing w:after="120" w:line="264"/>
        <w:ind w:left="540" w:hanging="540"/>
      </w:pPr>
      <w:r>
        <w:rPr>
          <w:b/>
          <w:bCs/>
        </w:rPr>
        <w:t xml:space="preserve">5.  </w:t>
      </w:r>
      <w:r>
        <w:t xml:space="preserve">Weiter hilfsweise: Die Beklagte wird unter Aufhebung der genannten Bescheide verpflichtet, über den Antrag unter Ziffer 2 unter Beachtung der Rechtsauffassung des Gerichts erneut zu entscheiden.</w:t>
      </w:r>
    </w:p>
    <w:p>
      <w:pPr>
        <w:spacing w:after="120" w:line="264"/>
        <w:ind w:left="540" w:hanging="540"/>
      </w:pPr>
      <w:r>
        <w:rPr>
          <w:b/>
          <w:bCs/>
        </w:rPr>
        <w:t xml:space="preserve">6.  </w:t>
      </w:r>
      <w:r>
        <w:t xml:space="preserve">Die Beklagte trägt die Kosten des Verfahrens.</w:t>
      </w:r>
    </w:p>
    <w:p>
      <w:pPr>
        <w:spacing w:after="130" w:line="264"/>
      </w:pPr>
      <w:r>
        <w:rPr>
          <w:b/>
          <w:bCs/>
        </w:rPr>
        <w:t xml:space="preserve">Ferner wird angeregt, </w:t>
      </w:r>
      <w:r>
        <w:t xml:space="preserve">dem Gericht nach § 99 Abs. 1 Satz 1 VwGO die vollständige Behördenakte zum Vorgang 759bc4c4-387d-49e7-9e16-9a2b56c9da0e vorzulegen.</w:t>
      </w:r>
    </w:p>
    <w:p>
      <w:pPr>
        <w:spacing w:after="40" w:line="264"/>
      </w:pPr>
      <w:r>
        <w:rPr>
          <w:b/>
          <w:bCs/>
        </w:rPr>
        <w:t xml:space="preserve">B. Begründung</w:t>
      </w:r>
    </w:p>
    <w:p>
      <w:pPr>
        <w:pStyle w:val="Heading2"/>
      </w:pPr>
      <w:r>
        <w:t xml:space="preserve">I. Sachverhalt</w:t>
      </w:r>
    </w:p>
    <w:p>
      <w:pPr>
        <w:spacing w:after="130" w:line="264"/>
      </w:pPr>
      <w:r>
        <w:t xml:space="preserve">Der Kläger wandte sich ab dem 21. September 2025 mit einer Eingabe an das Auswärtige Amt, die einen mit Ton- und Dokumentenmaterial belegten Hinweis auf mögliche schwerwiegende Menschenrechtsverletzungen enthielt. Die Eingabe wurde unter dem Vorgang 759bc4c4-387d-49e7-9e16-9a2b56c9da0e im System FACIL erfasst, durch den Bürgerservice sowie Referat 114 bearbeitet und an das Länderreferat 206 weitergeleitet. Mit Antrag vom 18./19. April 2026 begehrte der Kläger Zugang nach dem IFG; die Beklagte lehnte den Zugang mit Bescheid vom 12. Mai 2026 ab und wies den Widerspruch mit Widerspruchsbescheid vom 2. Juli 2026 zurück. Die Beklagte hat dabei aktenkundig dargelegt, dass sie rund 260.000 Bürgeranfragen jährlich über FACIL bearbeitet, dass dieses Vorgänge erstellt, Bearbeitungsschritte abbildet, intern weiterleitet und automatisierte Standardhinweise generiert. In der Vorgangskorrespondenz heißt es zudem wörtlich, Anfragen würden „nach Versand einer automatischen Antwort durch das System ungelesen geschlossen“.</w:t>
      </w:r>
    </w:p>
    <w:p>
      <w:pPr>
        <w:pStyle w:val="Heading2"/>
      </w:pPr>
      <w:r>
        <w:t xml:space="preserve">II. Streitgegenstand – Klarstellung</w:t>
      </w:r>
    </w:p>
    <w:p>
      <w:pPr>
        <w:spacing w:after="130" w:line="264"/>
      </w:pPr>
      <w:r>
        <w:t xml:space="preserve">Streitgegenstand ist allein der Zugang zu den vorhandenen, maschinell erzeugten Bearbeitungs-, Protokoll- und Routing-Metadaten des Vorgangs (Antrag 2 a–c) sowie zu der dokumentierten Regel, nach der FACIL Eingaben schließt oder inhaltlich bearbeitet (Antrag 2 d). Der Kläger begehrt keine Erstellung neuer Dokumente, keine wertende Stellungnahme, keine Weiterleitung an Dritte und keinen Programmcode. Die von der Beklagten gezogene Grenze (§ 1 Abs. 1 Satz 1 IFG erfasse nur vorhandene Informationen) wird zugrunde gelegt; der Antrag ist hierauf zugeschnitten.</w:t>
      </w:r>
    </w:p>
    <w:p>
      <w:pPr>
        <w:pStyle w:val="Heading2"/>
      </w:pPr>
      <w:r>
        <w:t xml:space="preserve">III. Anspruch aus § 1 Abs. 1 IFG – Vorliegen amtlicher Informationen</w:t>
      </w:r>
    </w:p>
    <w:p>
      <w:pPr>
        <w:spacing w:after="130" w:line="264"/>
      </w:pPr>
      <w:r>
        <w:t xml:space="preserve">Nach § 1 Abs. 1 Satz 1 IFG hat jeder Anspruch auf Zugang zu amtlichen Informationen. Amtliche Information ist nach § 2 Nr. 1 IFG jede amtlichen Zwecken dienende Aufzeichnung unabhängig von der Art der Speicherung; hierzu zählen die elektronischen Protokoll-, Log- und Metadaten eines behördlichen Fachverfahrens, die den Gang der Bearbeitung eines konkreten Vorgangs dokumentieren. Das Vorliegen dieser Daten folgt aus dem eigenen Vortrag der Beklagten: Ein System, das Vorgänge erzeugt, Statusänderungen abbildet, weiterleitet, automatische Antworten versendet und Vorgänge „durch das System“ schließt, führt hierüber notwendig maschinenlesbare Protokoll- und Statusdaten.</w:t>
      </w:r>
    </w:p>
    <w:p>
      <w:pPr>
        <w:pStyle w:val="Heading2"/>
      </w:pPr>
      <w:r>
        <w:t xml:space="preserve">IV. Zum Antrag auf die Regeldokumentation der Filterung (Antrag 2 d)</w:t>
      </w:r>
    </w:p>
    <w:p>
      <w:pPr>
        <w:spacing w:after="130" w:line="264"/>
      </w:pPr>
      <w:r>
        <w:t xml:space="preserve">Die Beklagte hat selbst dargelegt, dass FACIL Eingaben regelbasiert behandelt: Vorgänge werden erstellt, weitergeleitet, automatische Hinweise ausgelöst und Vorgänge geschlossen. Eine solche inhaltssteuernde Automatisierung setzt eine Regel voraus. Für diese Regel gilt Folgendes:</w:t>
      </w:r>
    </w:p>
    <w:p>
      <w:pPr>
        <w:spacing w:after="120" w:line="264"/>
        <w:ind w:left="540" w:hanging="540"/>
      </w:pPr>
      <w:r>
        <w:rPr>
          <w:b/>
          <w:bCs/>
        </w:rPr>
        <w:t xml:space="preserve">(1)  </w:t>
      </w:r>
      <w:r>
        <w:t xml:space="preserve">Existiert sie, so ist sie eine amtlichen Zwecken dienende Aufzeichnung und damit amtliche Information i.S.v. § 2 Nr. 1 IFG. Sie bestimmt, welche Bürgereingaben inhaltlich bearbeitet und welche „ungelesen“ geschlossen werden, und unterliegt dem Zugangsanspruch. Ein Ausnahmetatbestand (§§ 3 bis 6 IFG) ist nicht ersichtlich; insbesondere ist ein Kriterien- oder Konfigurationsregelwerk keine geschützte behördliche Beratung (§ 3 Nr. 3 lit. b IFG).</w:t>
      </w:r>
    </w:p>
    <w:p>
      <w:pPr>
        <w:spacing w:after="120" w:line="264"/>
        <w:ind w:left="540" w:hanging="540"/>
      </w:pPr>
      <w:r>
        <w:rPr>
          <w:b/>
          <w:bCs/>
        </w:rPr>
        <w:t xml:space="preserve">(2)  </w:t>
      </w:r>
      <w:r>
        <w:t xml:space="preserve">Existiert sie nicht, so trifft die Verwaltung eine für die Rechtsstellung der Bürger wesentliche Entscheidung – die inhaltliche Bearbeitung oder die ungelesene Schließung einer Eingabe – ohne jede schriftlich fixierte, nachvollziehbare Grundlage. Dies wäre mit der Bindung der Verwaltung an Gesetz und Recht (Art. 20 Abs. 3 GG) und dem Gebot der Nachvollziehbarkeit und Selbstbindung des Verwaltungshandelns nicht vereinbar.</w:t>
      </w:r>
    </w:p>
    <w:p>
      <w:pPr>
        <w:spacing w:after="130" w:line="264"/>
      </w:pPr>
      <w:r>
        <w:t xml:space="preserve">Der Kläger begehrt die Regel ausdrücklich in dokumentierter, menschenlesbarer Form (Verwaltungsvorschrift, Dienstanweisung, Kriterien-/Konfigurationsdokumentation), nicht den Quellcode oder die Software als solche. Der – zu erwartende – Einwand, es handele sich um bloße „technische Infrastruktur“, greift daher nicht: Gegenstand des Antrags ist nicht ein Programm, sondern die dokumentierte Verwaltungsregel, die über das Schicksal von Bürgereingaben entscheidet.</w:t>
      </w:r>
    </w:p>
    <w:p>
      <w:pPr>
        <w:pStyle w:val="Heading2"/>
      </w:pPr>
      <w:r>
        <w:t xml:space="preserve">V. Qualifikation als amtliche Information; Abgrenzung zur „technischen Infrastruktur“</w:t>
      </w:r>
    </w:p>
    <w:p>
      <w:pPr>
        <w:spacing w:after="130" w:line="264"/>
      </w:pPr>
      <w:r>
        <w:t xml:space="preserve">Maßgeblich ist nicht die Unterscheidung „Software oder Dokument“, sondern ob die Aufzeichnung amtlichen Zwecken dient und die Bearbeitung eines konkreten Verwaltungsvorgangs dokumentiert. Die verfahrensbezogene Protokollierung der Erstellung, Weiterleitung und Schließung des Vorgangs 759bc4c4 dient amtlichen Zwecken und ist auf einen konkreten Vorgang bezogen; sie ist keine bloße technische Telemetrie ohne Vorgangsbezug. Dass die Beklagte diese Daten als „standardmäßig generiert“ und „nicht einschlägig“ bezeichnet, ändert an ihrer Rechtsnatur nichts: Der Zugangsanspruch nach § 1 Abs. 1 IFG hängt nicht von der Relevanzeinschätzung der Behörde ab, sondern vom objektiven Vorliegen amtlicher Informationen.</w:t>
      </w:r>
    </w:p>
    <w:p>
      <w:pPr>
        <w:pStyle w:val="Heading2"/>
      </w:pPr>
      <w:r>
        <w:t xml:space="preserve">VI. Keine Ausnahmetatbestände; Grenzen des § 3 Nr. 3 lit. b und § 4 IFG</w:t>
      </w:r>
    </w:p>
    <w:p>
      <w:pPr>
        <w:spacing w:after="130" w:line="264"/>
      </w:pPr>
      <w:r>
        <w:t xml:space="preserve">Ein Ausschlussgrund nach §§ 3 bis 6 IFG ist weder ersichtlich noch datensatzbezogen dargelegt. Der Schutz behördlicher Beratungen (§ 3 Nr. 3 lit. b IFG) bzw. des Entscheidungsbildungsprozesses (§ 4 IFG) trägt nicht: Begehrt werden maschinell erzeugte Verfahrens- und Metadaten sowie eine dokumentierte Konfigurationsregel, nicht der Inhalt einer inhaltlichen Beratung. Wo – nach eigenem Vortrag der Beklagten – ein Vorgang „ungelesen“ maschinell geschlossen wird, fand ein geschützter inhaltlicher Beratungsprozess gerade nicht statt. Personenbezogene Daten Dritter (§ 5 IFG) stehen nicht entgegen; begehrt werden nur funktionsbezogene bzw. pseudonyme Kennungen.</w:t>
      </w:r>
    </w:p>
    <w:p>
      <w:pPr>
        <w:pStyle w:val="Heading2"/>
      </w:pPr>
      <w:r>
        <w:t xml:space="preserve">VII. Verfassungsrechtliche Rüge</w:t>
      </w:r>
    </w:p>
    <w:p>
      <w:pPr>
        <w:spacing w:after="130" w:line="264"/>
      </w:pPr>
      <w:r>
        <w:t xml:space="preserve">Die angegriffene Verwaltungspraxis ist auch im Lichte des Verfassungsrechts auszulegen. Das Petitionsgrundrecht (Art. 17 GG) gewährleistet die Entgegennahme, die inhaltliche Kenntnisnahme und die sachliche Bescheidung von Eingaben; eine systemseitige Schließung „ungelesen“ – so das ausdrückliche Eingeständnis der Beklagten – nimmt den Inhalt gerade nicht zur Kenntnis. Nach Art. 1 Abs. 3 GG ist alle staatliche Gewalt an die Grundrechte gebunden; diese Bindung wirkt bereits an der Eingangsschwelle der Verwaltung. Je gewichtiger der grundrechtliche Bezug einer Eingabe – hier: Hinweise auf mögliche schwerwiegende Menschenrechtsverletzungen –, desto höher sind die Anforderungen an eine sachgerechte, dokumentierte Bearbeitung und desto strenger der Maßstab für die Auslegung etwaiger Ausnahmetatbestände. Ein pauschaler Verweis auf das Fehlen von Vermerken genügt diesen Anforderungen nicht; er ist Folge einer Verwaltungsarchitektur, deren Verfassungsmäßigkeit gerade in Frage steht.</w:t>
      </w:r>
    </w:p>
    <w:p>
      <w:pPr>
        <w:pStyle w:val="Heading2"/>
      </w:pPr>
      <w:r>
        <w:t xml:space="preserve">VIII. Zur Gebührenfestsetzung (Antrag 3)</w:t>
      </w:r>
    </w:p>
    <w:p>
      <w:pPr>
        <w:spacing w:after="130" w:line="264"/>
      </w:pPr>
      <w:r>
        <w:t xml:space="preserve">Die Gebühr von 30,00 € beruht auf § 10 IFG i.V.m. der IFG-Gebührenverordnung und knüpft an die Zurückweisung des Widerspruchs an. Erweist sich die Zurückweisung als rechtswidrig, weil der begehrte Zugang zu Unrecht verweigert wurde, entfällt die Grundlage der Gebührenfestsetzung; sie ist dann aufzuheben. Die Gebühr wird als solche angegriffen; aus ihrer bloßen Erhebung werden keine weitergehenden Schlüsse zur Rechtsnatur der Systemdaten hergeleitet.</w:t>
      </w:r>
    </w:p>
    <w:p>
      <w:pPr>
        <w:pStyle w:val="Heading2"/>
      </w:pPr>
      <w:r>
        <w:t xml:space="preserve">IX. Anforderungen an die Ablehnungsbegründung (§ 39 VwVfG)</w:t>
      </w:r>
    </w:p>
    <w:p>
      <w:pPr>
        <w:spacing w:after="130" w:line="264"/>
      </w:pPr>
      <w:r>
        <w:t xml:space="preserve">Ein pauschaler Verweis auf das Fehlen „amtlicher Informationen“ genügt bezogen auf technisch protokollierte, nach dem Systemvortrag vorhandene Metadaten und auf die dokumentierte Konfigurationsregel nicht. Die Ablehnung bedarf einer datensatzbezogenen, die tragenden Erwägungen mitteilenden Begründung (§ 39 Abs. 1 VwVfG).</w:t>
      </w:r>
    </w:p>
    <w:p>
      <w:pPr>
        <w:pStyle w:val="Heading2"/>
      </w:pPr>
      <w:r>
        <w:t xml:space="preserve">X. Beweis / § 99 VwGO</w:t>
      </w:r>
    </w:p>
    <w:p>
      <w:pPr>
        <w:spacing w:after="130" w:line="264"/>
      </w:pPr>
      <w:r>
        <w:t xml:space="preserve">Sollte die Beklagte geltend machen, die Daten oder die Regeldokumentation seien geheimhaltungsbedürftig oder nicht vorzulegen, trifft sie die datensatzbezogene Darlegungslast. Für diesen Fall wird die Vorlage an das Gericht nach § 99 Abs. 1 Satz 2 VwGO angeregt; im Falle einer Sperrerklärung ist über deren Rechtmäßigkeit im Verfahren nach § 99 Abs. 2 VwGO (Fachsenat) zu entscheiden.</w:t>
      </w:r>
    </w:p>
    <w:p>
      <w:pPr>
        <w:pStyle w:val="Heading2"/>
      </w:pPr>
      <w:r>
        <w:t xml:space="preserve">XI. Anregung zur Sachaufklärung (§ 86 Abs. 1 VwGO)</w:t>
      </w:r>
    </w:p>
    <w:p>
      <w:pPr>
        <w:spacing w:after="130" w:line="264"/>
      </w:pPr>
      <w:r>
        <w:t xml:space="preserve">Zur Entscheidung über den Antrag zu 2 d (Regeldokumentation) regt der Kläger an, die Beklagte im Rahmen der gerichtlichen Sachaufklärung (§ 86 Abs. 1 VwGO) um Auskunft zu ersuchen. Die Beklagte hat zwei aktenkundige Erklärungen abgegeben, die zusammengenommen das Bestehen eines Sortierungsmechanismus belegen: erstens, Bürgeranfragen zu vielen Themen würden „nach Versand einer automatischen Antwort durch das System ungelesen geschlossen“; zweitens, im vorliegenden Vorgang sei der automatische Löschhinweis „nicht zum Tragen“ gekommen. Wenn manche Vorgänge ungelesen geschlossen werden und andere nicht, so existiert ein Kriterium, nach dem das System bzw. die Behörde unterscheidet.</w:t>
      </w:r>
    </w:p>
    <w:p>
      <w:pPr>
        <w:spacing w:after="130" w:line="264"/>
      </w:pPr>
      <w:r>
        <w:t xml:space="preserve">Für die Beurteilung, ob und in welcher Form eine dokumentierte Regel im Sinne des Antrags zu 2 d besteht, ist die Beantwortung folgender Fragen entscheidungserheblich:</w:t>
      </w:r>
    </w:p>
    <w:p>
      <w:pPr>
        <w:spacing w:after="120" w:line="264"/>
        <w:ind w:left="540" w:hanging="540"/>
      </w:pPr>
      <w:r>
        <w:rPr>
          <w:b/>
          <w:bCs/>
        </w:rPr>
        <w:t xml:space="preserve">1.  </w:t>
      </w:r>
      <w:r>
        <w:t xml:space="preserve">Erfasst die automatisierte Schließung („ungelesen geschlossen“) auch Eingaben, die substantiiert belegte Hinweise auf schwerwiegende Menschenrechtsverletzungen enthalten, oder werden solche Eingaben hiervon ausgenommen?</w:t>
      </w:r>
    </w:p>
    <w:p>
      <w:pPr>
        <w:spacing w:after="120" w:line="264"/>
        <w:ind w:left="540" w:hanging="540"/>
      </w:pPr>
      <w:r>
        <w:rPr>
          <w:b/>
          <w:bCs/>
        </w:rPr>
        <w:t xml:space="preserve">2.  </w:t>
      </w:r>
      <w:r>
        <w:t xml:space="preserve">Falls solche Eingaben von der automatisierten Schließung erfasst werden: Auf welcher dokumentierten Grundlage (Verwaltungsvorschrift, Dienstanweisung, Konfigurations- oder Kriterienregel) beruht dies?</w:t>
      </w:r>
    </w:p>
    <w:p>
      <w:pPr>
        <w:spacing w:after="120" w:line="264"/>
        <w:ind w:left="540" w:hanging="540"/>
      </w:pPr>
      <w:r>
        <w:rPr>
          <w:b/>
          <w:bCs/>
        </w:rPr>
        <w:t xml:space="preserve">3.  </w:t>
      </w:r>
      <w:r>
        <w:t xml:space="preserve">Falls solche Eingaben hiervon ausgenommen werden: Nach welchen dokumentierten organisatorischen oder technischen Kriterien bestimmt das System FACIL, welche Eingaben der automatisierten Schließung zugeführt und welche einer inhaltlichen Bearbeitung durch Bedienstete vorbehalten werden?</w:t>
      </w:r>
    </w:p>
    <w:p>
      <w:pPr>
        <w:spacing w:after="120" w:line="264"/>
        <w:ind w:left="540" w:hanging="540"/>
      </w:pPr>
      <w:r>
        <w:rPr>
          <w:b/>
          <w:bCs/>
        </w:rPr>
        <w:t xml:space="preserve">4.  </w:t>
      </w:r>
      <w:r>
        <w:t xml:space="preserve">Enthält das im System FACIL hinterlegte Regelwerk ein Kriterium, nach dem eine Eingabe einer inhaltlichen (nicht automatisierten) Bearbeitung zugeführt wird, wenn sie Anhaltspunkte dafür enthält, dass die betroffene Person sich im deutschen Hoheitsgebiet aufhält oder einer deutschen Schutzpflicht unterfallen könnte? Falls ja: wie lautet dieses Kriterium und wo ist es dokumentiert? Falls nein: ist ein möglicher Inlands- oder Schutzpflichtbezug einer Eingabe für die Entscheidung über die automatisierte Schließung ohne Bedeutung?</w:t>
      </w:r>
    </w:p>
    <w:p>
      <w:pPr>
        <w:spacing w:after="130" w:line="264"/>
      </w:pPr>
      <w:r>
        <w:t xml:space="preserve">Der Kläger verkennt nicht, dass die Sachaufklärung dem Gericht von Amts wegen obliegt und dass ihre Reichweite durch den Streitgegenstand begrenzt ist. Die vorstehenden Fragen sind indes gerade auf den Streitgegenstand bezogen: Ihre Beantwortung entscheidet, ob die mit Antrag zu 2 d begehrte Regel existiert und dokumentiert ist. Ein etwaiger Einwand der Beklagten, der vorliegende Vorgang sei inhaltlich bearbeitet worden, bestätigt die Fragestellung, statt sie zu erledigen – er setzt gerade voraus, dass zwischen ungelesener Schließung und inhaltlicher Bearbeitung nach einem Kriterium unterschieden wird.</w:t>
      </w:r>
    </w:p>
    <w:p>
      <w:pPr>
        <w:pStyle w:val="Heading2"/>
      </w:pPr>
      <w:r>
        <w:t xml:space="preserve">XII. Ergebnis</w:t>
      </w:r>
    </w:p>
    <w:p>
      <w:pPr>
        <w:spacing w:after="130" w:line="264"/>
      </w:pPr>
      <w:r>
        <w:t xml:space="preserve">Die Ablehnung des Zugangs zu den unter Ziffer 2 bezeichneten, vorhandenen Metadaten und zu der dokumentierten Filterungsregel ist rechtswidrig und verletzt den Kläger in seinem Anspruch aus § 1 Abs. 1 IFG (§ 113 Abs. 5 VwGO). Die Beklagte ist antragsgemäß zu verpflichten.</w:t>
      </w:r>
    </w:p>
    <w:p>
      <w:pPr>
        <w:spacing w:after="120"/>
      </w:pPr>
      <w:r>
        <w:t xml:space="preserve"/>
      </w:r>
    </w:p>
    <w:p>
      <w:pPr>
        <w:spacing w:after="130" w:line="264"/>
      </w:pPr>
      <w:r>
        <w:t xml:space="preserve">Ort, Datum ________________     Unterschrift ________________ (Dr. A. Kovnatsky)</w:t>
      </w:r>
    </w:p>
    <w:p>
      <w:pPr>
        <w:spacing w:after="80"/>
      </w:pPr>
      <w:r>
        <w:t xml:space="preserve"/>
      </w:r>
    </w:p>
    <w:p>
      <w:pPr>
        <w:spacing w:after="130" w:line="264"/>
      </w:pPr>
      <w:r>
        <w:rPr>
          <w:b/>
          <w:bCs/>
        </w:rPr>
        <w:t xml:space="preserve">Anlagen: </w:t>
      </w:r>
      <w:r>
        <w:t xml:space="preserve">Bescheid vom 12.05.2026; Widerspruchsbescheid vom 02.07.2026; Vorgangsdokumentation FACIL (Auszug mit Bearbeitervermerk vom 23.09.2025); Korrespondenz mit Vermerk „ungelesen geschlossen“.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26"/>
      </w:tabs>
    </w:pPr>
    <w:r>
      <w:rPr>
        <w:color w:val="888888"/>
        <w:sz w:val="16"/>
        <w:szCs w:val="16"/>
      </w:rPr>
      <w:t xml:space="preserve">Klageschrift – VG Berlin – FACIL / IFG</w:t>
    </w:r>
    <w:r>
      <w:rPr>
        <w:sz w:val="16"/>
        <w:szCs w:val="16"/>
      </w:rPr>
      <w:t xml:space="preserve">	</w:t>
    </w:r>
    <w:r>
      <w:rPr>
        <w:color w:val="888888"/>
        <w:sz w:val="16"/>
        <w:szCs w:val="16"/>
      </w:rPr>
      <w:t xml:space="preserve">Seite </w:t>
    </w:r>
    <w:r>
      <w:rPr>
        <w:color w:val="888888"/>
        <w:sz w:val="16"/>
        <w:szCs w:val="16"/>
      </w:rPr>
      <w:fldChar w:fldCharType="begin"/>
      <w:instrText xml:space="preserve">PAGE</w:instrText>
      <w:fldChar w:fldCharType="separate"/>
      <w:fldChar w:fldCharType="end"/>
    </w:r>
    <w:r>
      <w:rPr>
        <w:color w:val="888888"/>
        <w:sz w:val="16"/>
        <w:szCs w:val="16"/>
      </w:rPr>
      <w:t xml:space="preserve"> /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0"/>
      <w:outlineLvl w:val="0"/>
    </w:pPr>
    <w:rPr>
      <w:rFonts w:ascii="Arial" w:cs="Arial" w:eastAsia="Arial" w:hAnsi="Arial"/>
      <w:b/>
      <w:bCs/>
      <w:color w:val="000000"/>
      <w:sz w:val="28"/>
      <w:szCs w:val="28"/>
    </w:rPr>
  </w:style>
  <w:style w:type="paragraph" w:styleId="Heading2">
    <w:name w:val="Heading 2"/>
    <w:basedOn w:val="Normal"/>
    <w:next w:val="Normal"/>
    <w:qFormat/>
    <w:pPr>
      <w:spacing w:after="90" w:before="200"/>
      <w:outlineLvl w:val="1"/>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2026-07-07T05:35:01.913Z</dcterms:created>
  <dcterms:modified xsi:type="dcterms:W3CDTF">2026-07-07T05:35:01.931Z</dcterms:modified>
</cp:coreProperties>
</file>

<file path=docProps/custom.xml><?xml version="1.0" encoding="utf-8"?>
<Properties xmlns="http://schemas.openxmlformats.org/officeDocument/2006/custom-properties" xmlns:vt="http://schemas.openxmlformats.org/officeDocument/2006/docPropsVTypes"/>
</file>