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BFD17" w14:textId="77777777" w:rsidR="00694D7C" w:rsidRPr="00895D49" w:rsidRDefault="00895D49">
      <w:pPr>
        <w:spacing w:after="320"/>
        <w:rPr>
          <w:lang w:val="de-DE"/>
        </w:rPr>
      </w:pPr>
      <w:r w:rsidRPr="00895D49">
        <w:rPr>
          <w:b/>
          <w:lang w:val="de-DE"/>
        </w:rPr>
        <w:t xml:space="preserve">Einreichungshinweis (nicht Teil des Petitionstextes). </w:t>
      </w:r>
      <w:r w:rsidRPr="00895D49">
        <w:rPr>
          <w:i/>
          <w:lang w:val="de-DE"/>
        </w:rPr>
        <w:t xml:space="preserve">Einreichung als NICHT VERÖFFENTLICHTE Einzelpetition über epetitionen.bundestag.de (Option „Petition einreichen“, ohne Veröffentlichung) oder schriftlich an: Deutscher Bundestag, </w:t>
      </w:r>
      <w:r w:rsidRPr="00895D49">
        <w:rPr>
          <w:i/>
          <w:lang w:val="de-DE"/>
        </w:rPr>
        <w:t>Petitionsausschuss, Platz der Republik 1, 11011 Berlin. Als Einzelpetition ist die inhaltliche Bearbeitung gesetzlich verpflichtend (Art. 17 GG), unabhängig von Mitzeichnungen. Dieses Dokument enthält personenbezogene und verfahrensbezogene Details, die fü</w:t>
      </w:r>
      <w:r w:rsidRPr="00895D49">
        <w:rPr>
          <w:i/>
          <w:lang w:val="de-DE"/>
        </w:rPr>
        <w:t>r eine öffentliche Petition ungeeignet sind (Moderationsregeln, Persönlichkeitsschutz Dritter) — hierfür dient die separate öffentliche Petition (siehe Zweitdokument).</w:t>
      </w:r>
      <w:r w:rsidRPr="00895D49">
        <w:rPr>
          <w:i/>
          <w:lang w:val="de-DE"/>
        </w:rPr>
        <w:br/>
      </w:r>
      <w:r w:rsidRPr="00895D49">
        <w:rPr>
          <w:i/>
          <w:lang w:val="de-DE"/>
        </w:rPr>
        <w:br/>
        <w:t>Wichtiger Hinweis zur Sorgfaltspflicht: Alle in diesem Dokument genannten Tatsachen stü</w:t>
      </w:r>
      <w:r w:rsidRPr="00895D49">
        <w:rPr>
          <w:i/>
          <w:lang w:val="de-DE"/>
        </w:rPr>
        <w:t>tzen sich ausschließlich auf dokumentierte, dem Petenten vorliegende Belege (aktenkundige Korrespondenz, Audioaufnahmen, gerichtliche Aktenzeichen). Nicht belegte oder nicht abschließend verifizierte Fälle wurden bewusst nicht aufgenommen, um die Glaubwürd</w:t>
      </w:r>
      <w:r w:rsidRPr="00895D49">
        <w:rPr>
          <w:i/>
          <w:lang w:val="de-DE"/>
        </w:rPr>
        <w:t>igkeit der Eingabe insgesamt nicht zu gefährden.</w:t>
      </w:r>
    </w:p>
    <w:p w14:paraId="2DE909D0" w14:textId="77777777" w:rsidR="00694D7C" w:rsidRPr="00895D49" w:rsidRDefault="00895D49">
      <w:pPr>
        <w:spacing w:after="0"/>
        <w:rPr>
          <w:lang w:val="de-DE"/>
        </w:rPr>
      </w:pPr>
      <w:r w:rsidRPr="00895D49">
        <w:rPr>
          <w:lang w:val="de-DE"/>
        </w:rPr>
        <w:t>An den Deutschen Bundestag — Petitionsausschuss</w:t>
      </w:r>
    </w:p>
    <w:p w14:paraId="602A3BB7" w14:textId="77777777" w:rsidR="00694D7C" w:rsidRPr="00895D49" w:rsidRDefault="00895D49">
      <w:pPr>
        <w:spacing w:after="320"/>
        <w:rPr>
          <w:lang w:val="de-DE"/>
        </w:rPr>
      </w:pPr>
      <w:r w:rsidRPr="00895D49">
        <w:rPr>
          <w:lang w:val="de-DE"/>
        </w:rPr>
        <w:t>Platz der Republik 1, 11011 Berlin</w:t>
      </w:r>
    </w:p>
    <w:p w14:paraId="4F41BC70" w14:textId="77777777" w:rsidR="00694D7C" w:rsidRPr="00895D49" w:rsidRDefault="00895D49">
      <w:pPr>
        <w:rPr>
          <w:lang w:val="de-DE"/>
        </w:rPr>
      </w:pPr>
      <w:r w:rsidRPr="00895D49">
        <w:rPr>
          <w:b/>
          <w:sz w:val="28"/>
          <w:lang w:val="de-DE"/>
        </w:rPr>
        <w:t>Einzelpetition gemäß Art. 17 GG (nicht zur Veröffentlichung)</w:t>
      </w:r>
    </w:p>
    <w:p w14:paraId="27E6F02D" w14:textId="13231007" w:rsidR="00694D7C" w:rsidRPr="00895D49" w:rsidRDefault="00895D49">
      <w:pPr>
        <w:spacing w:after="280"/>
        <w:rPr>
          <w:lang w:val="de-DE"/>
        </w:rPr>
      </w:pPr>
      <w:r w:rsidRPr="00895D49">
        <w:rPr>
          <w:lang w:val="de-DE"/>
        </w:rPr>
        <w:t>Petent: Dr. Artiom</w:t>
      </w:r>
      <w:r>
        <w:rPr>
          <w:lang w:val="de-DE"/>
        </w:rPr>
        <w:t xml:space="preserve"> A.</w:t>
      </w:r>
      <w:r w:rsidRPr="00895D49">
        <w:rPr>
          <w:lang w:val="de-DE"/>
        </w:rPr>
        <w:t xml:space="preserve"> Kovnatsky, Dahlmannstr. 17, 10629 Berlin; </w:t>
      </w:r>
      <w:r>
        <w:rPr>
          <w:lang w:val="de-DE"/>
        </w:rPr>
        <w:t>artiom.kovnatsky@gmail.com</w:t>
      </w:r>
      <w:r w:rsidRPr="00895D49">
        <w:rPr>
          <w:lang w:val="de-DE"/>
        </w:rPr>
        <w:t>.</w:t>
      </w:r>
    </w:p>
    <w:p w14:paraId="6198BFDE" w14:textId="77777777" w:rsidR="00694D7C" w:rsidRPr="00895D49" w:rsidRDefault="00895D49">
      <w:pPr>
        <w:spacing w:after="280"/>
        <w:rPr>
          <w:lang w:val="de-DE"/>
        </w:rPr>
      </w:pPr>
      <w:r w:rsidRPr="00895D49">
        <w:rPr>
          <w:b/>
          <w:lang w:val="de-DE"/>
        </w:rPr>
        <w:t>Betreff: Automatisierte, ungelesene Schließung menschenrechtsrelevanter Bürgereingaben im Auswärtigen Amt (System FACIL) — konkreter Einzelfall mit Beweismaterial; Bitte um vorrangige, vertrauliche Prüfung</w:t>
      </w:r>
    </w:p>
    <w:p w14:paraId="3C059977" w14:textId="77777777" w:rsidR="00694D7C" w:rsidRDefault="00895D49">
      <w:pPr>
        <w:spacing w:after="160"/>
      </w:pPr>
      <w:r>
        <w:rPr>
          <w:b/>
        </w:rPr>
        <w:t>I. Aktenzeichen-Übersicht</w:t>
      </w:r>
    </w:p>
    <w:p w14:paraId="3DDD40B3" w14:textId="77777777" w:rsidR="00694D7C" w:rsidRDefault="00895D49">
      <w:pPr>
        <w:pStyle w:val="ListBullet"/>
        <w:spacing w:after="160"/>
      </w:pPr>
      <w:r w:rsidRPr="00895D49">
        <w:rPr>
          <w:lang w:val="de-DE"/>
        </w:rPr>
        <w:t xml:space="preserve">Auswärtiges Amt </w:t>
      </w:r>
      <w:r w:rsidRPr="00895D49">
        <w:rPr>
          <w:lang w:val="de-DE"/>
        </w:rPr>
        <w:t xml:space="preserve">— Vorgang 1: 759bc4c4-387d-49e7-9e16-9a2b56c9da0e (Bescheid Gz. 505-511.03 IFG 123-2026; Widerspruchsbescheid Gz. </w:t>
      </w:r>
      <w:r>
        <w:t>R20-511.03 IFG 123-2026) — Gegenstand der anhängigen Klage;</w:t>
      </w:r>
    </w:p>
    <w:p w14:paraId="6C07DE07" w14:textId="77777777" w:rsidR="00694D7C" w:rsidRPr="00895D49" w:rsidRDefault="00895D49">
      <w:pPr>
        <w:pStyle w:val="ListBullet"/>
        <w:spacing w:after="160"/>
        <w:rPr>
          <w:lang w:val="de-DE"/>
        </w:rPr>
      </w:pPr>
      <w:r w:rsidRPr="00895D49">
        <w:rPr>
          <w:lang w:val="de-DE"/>
        </w:rPr>
        <w:t>Auswärtiges Amt — Vorgang 2: e814bd1a-a632-4744-b326-9bce0a0d5bec (automatisiert e</w:t>
      </w:r>
      <w:r w:rsidRPr="00895D49">
        <w:rPr>
          <w:lang w:val="de-DE"/>
        </w:rPr>
        <w:t>rzeugt, bislang unbeschieden);</w:t>
      </w:r>
    </w:p>
    <w:p w14:paraId="04DDABEE" w14:textId="77777777" w:rsidR="00694D7C" w:rsidRPr="00895D49" w:rsidRDefault="00895D49">
      <w:pPr>
        <w:pStyle w:val="ListBullet"/>
        <w:spacing w:after="160"/>
        <w:rPr>
          <w:lang w:val="de-DE"/>
        </w:rPr>
      </w:pPr>
      <w:r w:rsidRPr="00895D49">
        <w:rPr>
          <w:lang w:val="de-DE"/>
        </w:rPr>
        <w:t>Auswärtiges Amt — Vorgang 3: 8feca07e-720b-4e1c-ba35-baaba724c689 (automatisiert erzeugt, bislang unbeschieden);</w:t>
      </w:r>
    </w:p>
    <w:p w14:paraId="471986D4" w14:textId="77777777" w:rsidR="00694D7C" w:rsidRPr="00895D49" w:rsidRDefault="00895D49">
      <w:pPr>
        <w:pStyle w:val="ListBullet"/>
        <w:spacing w:after="160"/>
        <w:rPr>
          <w:lang w:val="de-DE"/>
        </w:rPr>
      </w:pPr>
      <w:r w:rsidRPr="00895D49">
        <w:rPr>
          <w:lang w:val="de-DE"/>
        </w:rPr>
        <w:t>Verwaltungsgericht Berlin: Az. 2 K 202/26 (Klage) und Az. 2 L 201/26 (vorläufiger Rechtsschutz), beide vom 26.06</w:t>
      </w:r>
      <w:r w:rsidRPr="00895D49">
        <w:rPr>
          <w:lang w:val="de-DE"/>
        </w:rPr>
        <w:t>.2026;</w:t>
      </w:r>
    </w:p>
    <w:p w14:paraId="395643CA" w14:textId="77777777" w:rsidR="00694D7C" w:rsidRPr="00895D49" w:rsidRDefault="00895D49">
      <w:pPr>
        <w:pStyle w:val="ListBullet"/>
        <w:spacing w:after="160"/>
        <w:rPr>
          <w:lang w:val="de-DE"/>
        </w:rPr>
      </w:pPr>
      <w:r w:rsidRPr="00895D49">
        <w:rPr>
          <w:lang w:val="de-DE"/>
        </w:rPr>
        <w:t>BfDI: Az. DI3-722/002 II#0517, Dok. 66247/2026;</w:t>
      </w:r>
    </w:p>
    <w:p w14:paraId="3D736EE1" w14:textId="77777777" w:rsidR="00694D7C" w:rsidRPr="00895D49" w:rsidRDefault="00895D49">
      <w:pPr>
        <w:pStyle w:val="ListBullet"/>
        <w:spacing w:after="160"/>
        <w:rPr>
          <w:lang w:val="de-DE"/>
        </w:rPr>
      </w:pPr>
      <w:r w:rsidRPr="00895D49">
        <w:rPr>
          <w:lang w:val="de-DE"/>
        </w:rPr>
        <w:t>BVerfG: AR 2734/26 (Allgemeines Register, keine Verfassungsbeschwerde).</w:t>
      </w:r>
    </w:p>
    <w:p w14:paraId="1071870E" w14:textId="77777777" w:rsidR="00694D7C" w:rsidRPr="00895D49" w:rsidRDefault="00895D49">
      <w:pPr>
        <w:spacing w:after="160"/>
        <w:rPr>
          <w:lang w:val="de-DE"/>
        </w:rPr>
      </w:pPr>
      <w:r w:rsidRPr="00895D49">
        <w:rPr>
          <w:b/>
          <w:lang w:val="de-DE"/>
        </w:rPr>
        <w:t>II. Anliegen</w:t>
      </w:r>
    </w:p>
    <w:p w14:paraId="6E56EB57" w14:textId="77777777" w:rsidR="00694D7C" w:rsidRPr="00895D49" w:rsidRDefault="00895D49">
      <w:pPr>
        <w:spacing w:after="280"/>
        <w:rPr>
          <w:lang w:val="de-DE"/>
        </w:rPr>
      </w:pPr>
      <w:r w:rsidRPr="00895D49">
        <w:rPr>
          <w:lang w:val="de-DE"/>
        </w:rPr>
        <w:lastRenderedPageBreak/>
        <w:t>Ich bitte den Petitionsausschuss um vorrangige, in der gebotenen Vertraulichkeit durchgeführte Prüfung der automatis</w:t>
      </w:r>
      <w:r w:rsidRPr="00895D49">
        <w:rPr>
          <w:lang w:val="de-DE"/>
        </w:rPr>
        <w:t>ierten Bearbeitungsregeln des Auswärtigen Amts im System FACIL, da diese nach den mir vorliegenden Belegen zu einer strukturellen Nichtbefassung mit Hinweisen auf schwere Menschenrechtsverletzungen führen — mit konkreten, dokumentierten Folgen für den vorl</w:t>
      </w:r>
      <w:r w:rsidRPr="00895D49">
        <w:rPr>
          <w:lang w:val="de-DE"/>
        </w:rPr>
        <w:t>iegenden Einzelfall.</w:t>
      </w:r>
    </w:p>
    <w:p w14:paraId="178F5ED8" w14:textId="77777777" w:rsidR="00694D7C" w:rsidRPr="00895D49" w:rsidRDefault="00895D49">
      <w:pPr>
        <w:spacing w:after="160"/>
        <w:rPr>
          <w:lang w:val="de-DE"/>
        </w:rPr>
      </w:pPr>
      <w:r w:rsidRPr="00895D49">
        <w:rPr>
          <w:b/>
          <w:lang w:val="de-DE"/>
        </w:rPr>
        <w:t>III. Sachverhalt (dokumentiert)</w:t>
      </w:r>
    </w:p>
    <w:p w14:paraId="72365038" w14:textId="77777777" w:rsidR="00694D7C" w:rsidRPr="00895D49" w:rsidRDefault="00895D49">
      <w:pPr>
        <w:spacing w:after="280"/>
        <w:rPr>
          <w:lang w:val="de-DE"/>
        </w:rPr>
      </w:pPr>
      <w:r w:rsidRPr="00895D49">
        <w:rPr>
          <w:lang w:val="de-DE"/>
        </w:rPr>
        <w:t>Am 21. September 2025, 21:13 Uhr, wandte ich mich über die Notfallnummer des Auswärtigen Amts telefonisch an die Behörde. Der diensthabende Mitarbeiter (Kennung 73991) verweigerte die Namensnennung und j</w:t>
      </w:r>
      <w:r w:rsidRPr="00895D49">
        <w:rPr>
          <w:lang w:val="de-DE"/>
        </w:rPr>
        <w:t>ede Beratung mit der Begründung, es sei „kein Deutscher betroffen“ — eine tatsächlich unzutreffende Aussage, da ich deutscher Staatsbürger bin und mein Anliegen deutsche Außenpolitik sowie den Einsatz deutscher Steuermittel betrifft.</w:t>
      </w:r>
      <w:r w:rsidRPr="00895D49">
        <w:rPr>
          <w:lang w:val="de-DE"/>
        </w:rPr>
        <w:br/>
      </w:r>
      <w:r w:rsidRPr="00895D49">
        <w:rPr>
          <w:lang w:val="de-DE"/>
        </w:rPr>
        <w:br/>
        <w:t>Am selben Tag reichte</w:t>
      </w:r>
      <w:r w:rsidRPr="00895D49">
        <w:rPr>
          <w:lang w:val="de-DE"/>
        </w:rPr>
        <w:t xml:space="preserve"> ich eine schriftliche Dienstaufsichtsbeschwerde mit drei Anlagen ein, darunter dokumentiertes Ton- und Beweismaterial zum Fall des ukrainischen Zivilisten Viktor Krasnikov: Nach unmittelbaren Zeugenaussagen (Audioaufnahmen vom 23.09.2025) wurde Herr Krasn</w:t>
      </w:r>
      <w:r w:rsidRPr="00895D49">
        <w:rPr>
          <w:lang w:val="de-DE"/>
        </w:rPr>
        <w:t>ikov an einer Sammelstelle in Mykolaiv mit 100–150 weiteren zwangsweise erfassten Männern unter unzureichenden hygienischen und medizinischen Bedingungen festgehalten; eine Musterung erklärte ihn trotz gesundheitlicher Beeinträchtigung für tauglich. Zusätz</w:t>
      </w:r>
      <w:r w:rsidRPr="00895D49">
        <w:rPr>
          <w:lang w:val="de-DE"/>
        </w:rPr>
        <w:t>lich liegt der Fall des seit Juli 2025 verschollenen Vladislav Tymoshchuk vor.</w:t>
      </w:r>
      <w:r w:rsidRPr="00895D49">
        <w:rPr>
          <w:lang w:val="de-DE"/>
        </w:rPr>
        <w:br/>
      </w:r>
      <w:r w:rsidRPr="00895D49">
        <w:rPr>
          <w:lang w:val="de-DE"/>
        </w:rPr>
        <w:br/>
        <w:t>Am 26.09.2025 bestätigte Herr Böhm (Referat 114) den Eingang und leitete die Eingabe ausdrücklich an das für die Ukraine zuständige Länderreferat 206 weiter — womit aktenkundig</w:t>
      </w:r>
      <w:r w:rsidRPr="00895D49">
        <w:rPr>
          <w:lang w:val="de-DE"/>
        </w:rPr>
        <w:t xml:space="preserve"> ist, dass die Eingabe empfangen und behördenintern verteilt wurde. Ein Bearbeiter (dirk.hennig@diplo.de) war am 23.09.2025 nachweislich mit dem Vorgang befasst; sämtliche Anlagen (30+) wurden im System FACIL als „privileged“ geführt.</w:t>
      </w:r>
      <w:r w:rsidRPr="00895D49">
        <w:rPr>
          <w:lang w:val="de-DE"/>
        </w:rPr>
        <w:br/>
      </w:r>
      <w:r w:rsidRPr="00895D49">
        <w:rPr>
          <w:lang w:val="de-DE"/>
        </w:rPr>
        <w:br/>
        <w:t xml:space="preserve">Am 22.10.2025 wurde </w:t>
      </w:r>
      <w:r w:rsidRPr="00895D49">
        <w:rPr>
          <w:lang w:val="de-DE"/>
        </w:rPr>
        <w:t>intern die Weiterleitung dokumentiert mit der ausdrücklichen Anweisung, Anlagen zu löschen, sowie dem Hinweis, Anfragen würden „nach Versand einer automatischen Antwort durch das System ungelesen geschlossen“. Die erste inhaltliche Reaktion erfolgte erst a</w:t>
      </w:r>
      <w:r w:rsidRPr="00895D49">
        <w:rPr>
          <w:lang w:val="de-DE"/>
        </w:rPr>
        <w:t>m 20.11.2025 — rund zwei Monate nach Fristablauf und einen Tag nach einer öffentlichen Kundgebung vor dem Bundestag — in Form eines allgemeinen Textbausteins, der auf die HRMMU verwies, ohne den Einzelfall zu kommentieren.</w:t>
      </w:r>
      <w:r w:rsidRPr="00895D49">
        <w:rPr>
          <w:lang w:val="de-DE"/>
        </w:rPr>
        <w:br/>
      </w:r>
      <w:r w:rsidRPr="00895D49">
        <w:rPr>
          <w:lang w:val="de-DE"/>
        </w:rPr>
        <w:br/>
        <w:t>Mein Antrag auf Informationszuga</w:t>
      </w:r>
      <w:r w:rsidRPr="00895D49">
        <w:rPr>
          <w:lang w:val="de-DE"/>
        </w:rPr>
        <w:t>ng nach dem IFG vom 18./19. April 2026 wurde mit Bescheid vom 12. Mai 2026 abgelehnt mit der Begründung, es lägen „keine amtlichen Informationen“ vor — obwohl dieselbe Behörde zugleich einräumt, dass FACIL Vorgänge, Statusänderungen und Weiterleitungen pro</w:t>
      </w:r>
      <w:r w:rsidRPr="00895D49">
        <w:rPr>
          <w:lang w:val="de-DE"/>
        </w:rPr>
        <w:t>tokolliert. Der Widerspruch wurde am 2. Juli 2026 zurückgewiesen. Ich habe hiergegen Klage beim Verwaltungsgericht Berlin erhoben (Az. 2 K 202/26) und einen Antrag auf vorläufigen Rechtsschutz gestellt (Az. 2 L 201/26).</w:t>
      </w:r>
    </w:p>
    <w:p w14:paraId="28B066B0" w14:textId="77777777" w:rsidR="00694D7C" w:rsidRPr="00895D49" w:rsidRDefault="00895D49">
      <w:pPr>
        <w:spacing w:after="160"/>
        <w:rPr>
          <w:lang w:val="de-DE"/>
        </w:rPr>
      </w:pPr>
      <w:r w:rsidRPr="00895D49">
        <w:rPr>
          <w:b/>
          <w:lang w:val="de-DE"/>
        </w:rPr>
        <w:lastRenderedPageBreak/>
        <w:t>IV. Der nicht auflösbare Widerspruch</w:t>
      </w:r>
      <w:r w:rsidRPr="00895D49">
        <w:rPr>
          <w:b/>
          <w:lang w:val="de-DE"/>
        </w:rPr>
        <w:t xml:space="preserve"> (HRMMU)</w:t>
      </w:r>
    </w:p>
    <w:p w14:paraId="1260289C" w14:textId="77777777" w:rsidR="00694D7C" w:rsidRPr="00895D49" w:rsidRDefault="00895D49">
      <w:pPr>
        <w:spacing w:after="280"/>
        <w:rPr>
          <w:lang w:val="de-DE"/>
        </w:rPr>
      </w:pPr>
      <w:r w:rsidRPr="00895D49">
        <w:rPr>
          <w:lang w:val="de-DE"/>
        </w:rPr>
        <w:t>Die Beklagte hat in ihrer Antwort vom 20.11.2025 selbst auf die Human Rights Monitoring Mission in Ukraine (HRMMU) verwiesen und erklärt, die Bundesregierung unterstütze deren Mandat zur Dokumentation von Menschenrechtsverletzungen. Meinen ausdrüc</w:t>
      </w:r>
      <w:r w:rsidRPr="00895D49">
        <w:rPr>
          <w:lang w:val="de-DE"/>
        </w:rPr>
        <w:t>klichen Antrag, das gesammelte Beweismaterial an eben diese Stelle weiterzuleiten, hat die Behörde nach meiner Kenntnis bis heute nicht umgesetzt und die Nichtweiterleitung nicht begründet. Diese Behörde kann nicht gleichzeitig behaupten, die Zusammenarbei</w:t>
      </w:r>
      <w:r w:rsidRPr="00895D49">
        <w:rPr>
          <w:lang w:val="de-DE"/>
        </w:rPr>
        <w:t>t mit der HRMMU sei substanzlos, und die Weiterleitung dokumentierter Menschenrechtsbeweise an dieselbe Stelle verweigern.</w:t>
      </w:r>
    </w:p>
    <w:p w14:paraId="0E02A4C5" w14:textId="77777777" w:rsidR="00694D7C" w:rsidRPr="00895D49" w:rsidRDefault="00895D49">
      <w:pPr>
        <w:spacing w:after="160"/>
        <w:rPr>
          <w:lang w:val="de-DE"/>
        </w:rPr>
      </w:pPr>
      <w:r w:rsidRPr="00895D49">
        <w:rPr>
          <w:b/>
          <w:lang w:val="de-DE"/>
        </w:rPr>
        <w:t>V. Strukturelle Bewertung</w:t>
      </w:r>
    </w:p>
    <w:p w14:paraId="1677C09B" w14:textId="77777777" w:rsidR="00694D7C" w:rsidRPr="00895D49" w:rsidRDefault="00895D49">
      <w:pPr>
        <w:rPr>
          <w:lang w:val="de-DE"/>
        </w:rPr>
      </w:pPr>
      <w:r w:rsidRPr="00895D49">
        <w:rPr>
          <w:b/>
          <w:lang w:val="de-DE"/>
        </w:rPr>
        <w:t xml:space="preserve">1. Petitionsrecht (Art. 17 GG). </w:t>
      </w:r>
      <w:r w:rsidRPr="00895D49">
        <w:rPr>
          <w:lang w:val="de-DE"/>
        </w:rPr>
        <w:t>Die systemseitige Schließung „ungelesen“ nimmt den Inhalt einer Eingabe ger</w:t>
      </w:r>
      <w:r w:rsidRPr="00895D49">
        <w:rPr>
          <w:lang w:val="de-DE"/>
        </w:rPr>
        <w:t>ade nicht zur Kenntnis und entwertet den Kern des Petitionsgrundrechts.</w:t>
      </w:r>
    </w:p>
    <w:p w14:paraId="0B24C624" w14:textId="77777777" w:rsidR="00694D7C" w:rsidRPr="00895D49" w:rsidRDefault="00895D49">
      <w:pPr>
        <w:rPr>
          <w:lang w:val="de-DE"/>
        </w:rPr>
      </w:pPr>
      <w:r w:rsidRPr="00895D49">
        <w:rPr>
          <w:b/>
          <w:lang w:val="de-DE"/>
        </w:rPr>
        <w:t xml:space="preserve">2. Verhältnismäßigkeit und Art. 1 Abs. 3 GG. </w:t>
      </w:r>
      <w:r w:rsidRPr="00895D49">
        <w:rPr>
          <w:lang w:val="de-DE"/>
        </w:rPr>
        <w:t xml:space="preserve">Ein Bearbeitungssystem ohne inhaltliche Differenzierung behandelt einen Hinweis auf schwere Menschenrechtsverletzungen verfahrensmäßig wie </w:t>
      </w:r>
      <w:r w:rsidRPr="00895D49">
        <w:rPr>
          <w:lang w:val="de-DE"/>
        </w:rPr>
        <w:t>eine Broschürenanfrage. Die Bindung aller staatlichen Gewalt an die Grundrechte wirkt bereits an der Eingangsschwelle der Verwaltung.</w:t>
      </w:r>
    </w:p>
    <w:p w14:paraId="1CD1FFAA" w14:textId="77777777" w:rsidR="00694D7C" w:rsidRPr="00895D49" w:rsidRDefault="00895D49">
      <w:pPr>
        <w:rPr>
          <w:lang w:val="de-DE"/>
        </w:rPr>
      </w:pPr>
      <w:r w:rsidRPr="00895D49">
        <w:rPr>
          <w:b/>
          <w:lang w:val="de-DE"/>
        </w:rPr>
        <w:t xml:space="preserve">3. Quantitative Dimension. </w:t>
      </w:r>
      <w:r w:rsidRPr="00895D49">
        <w:rPr>
          <w:lang w:val="de-DE"/>
        </w:rPr>
        <w:t>Bei einem von der Beklagten eingeräumten jährlichen Aufkommen von rund 260.000 Bürgereingaben w</w:t>
      </w:r>
      <w:r w:rsidRPr="00895D49">
        <w:rPr>
          <w:lang w:val="de-DE"/>
        </w:rPr>
        <w:t>ürde bereits eine Fehlerquote von nur 1 % im automatisierten Filtermechanismus bedeuten, dass jährlich ca. 2.600 potenziell grundrechtlich relevante Eingaben ohne menschliche Kenntnisnahme blockiert werden.</w:t>
      </w:r>
    </w:p>
    <w:p w14:paraId="3F49D328" w14:textId="77777777" w:rsidR="00694D7C" w:rsidRPr="00895D49" w:rsidRDefault="00895D49">
      <w:pPr>
        <w:rPr>
          <w:lang w:val="de-DE"/>
        </w:rPr>
      </w:pPr>
      <w:r w:rsidRPr="00895D49">
        <w:rPr>
          <w:b/>
          <w:lang w:val="de-DE"/>
        </w:rPr>
        <w:t xml:space="preserve">4. Persönliche Anmerkung. </w:t>
      </w:r>
      <w:r w:rsidRPr="00895D49">
        <w:rPr>
          <w:lang w:val="de-DE"/>
        </w:rPr>
        <w:t>Als Enkel eines Überleb</w:t>
      </w:r>
      <w:r w:rsidRPr="00895D49">
        <w:rPr>
          <w:lang w:val="de-DE"/>
        </w:rPr>
        <w:t>enden der Shoah hat die Frage, wie deutsche Behörden institutionell mit Hinweisen auf schwere Menschenrechtsverletzungen umgehen, für mich auch eine persönliche Dimension. Ich trage sie hier ausschließlich als sachliches Anliegen vor.</w:t>
      </w:r>
    </w:p>
    <w:p w14:paraId="0E367A6E" w14:textId="77777777" w:rsidR="00694D7C" w:rsidRPr="00895D49" w:rsidRDefault="00895D49">
      <w:pPr>
        <w:spacing w:after="160"/>
        <w:rPr>
          <w:lang w:val="de-DE"/>
        </w:rPr>
      </w:pPr>
      <w:r w:rsidRPr="00895D49">
        <w:rPr>
          <w:b/>
          <w:lang w:val="de-DE"/>
        </w:rPr>
        <w:t>VI. Bitten an den Aus</w:t>
      </w:r>
      <w:r w:rsidRPr="00895D49">
        <w:rPr>
          <w:b/>
          <w:lang w:val="de-DE"/>
        </w:rPr>
        <w:t>schuss</w:t>
      </w:r>
    </w:p>
    <w:p w14:paraId="5B0379B8" w14:textId="77777777" w:rsidR="00694D7C" w:rsidRPr="00895D49" w:rsidRDefault="00895D49">
      <w:pPr>
        <w:pStyle w:val="ListNumber"/>
        <w:rPr>
          <w:lang w:val="de-DE"/>
        </w:rPr>
      </w:pPr>
      <w:r w:rsidRPr="00895D49">
        <w:rPr>
          <w:lang w:val="de-DE"/>
        </w:rPr>
        <w:t>Vertrauliche Prüfung des geschilderten Einzelfalls einschließlich der Frage, warum die als „privileged“ geführten Anlagen trotz dokumentierter menschlicher Bearbeitung (dirk.hennig@diplo.de, 23.09.2025) zu keiner inhaltlichen Sachentscheidung geführ</w:t>
      </w:r>
      <w:r w:rsidRPr="00895D49">
        <w:rPr>
          <w:lang w:val="de-DE"/>
        </w:rPr>
        <w:t>t haben;</w:t>
      </w:r>
    </w:p>
    <w:p w14:paraId="2F6164AE" w14:textId="77777777" w:rsidR="00694D7C" w:rsidRPr="00895D49" w:rsidRDefault="00895D49">
      <w:pPr>
        <w:pStyle w:val="ListNumber"/>
        <w:rPr>
          <w:lang w:val="de-DE"/>
        </w:rPr>
      </w:pPr>
      <w:r w:rsidRPr="00895D49">
        <w:rPr>
          <w:lang w:val="de-DE"/>
        </w:rPr>
        <w:t>Aufklärung, nach welchen dokumentierten Kriterien FACIL Eingaben automatisiert schließt bzw. einer inhaltlichen Bearbeitung zuführt;</w:t>
      </w:r>
    </w:p>
    <w:p w14:paraId="46604313" w14:textId="77777777" w:rsidR="00694D7C" w:rsidRPr="00895D49" w:rsidRDefault="00895D49">
      <w:pPr>
        <w:pStyle w:val="ListNumber"/>
        <w:rPr>
          <w:lang w:val="de-DE"/>
        </w:rPr>
      </w:pPr>
      <w:r w:rsidRPr="00895D49">
        <w:rPr>
          <w:lang w:val="de-DE"/>
        </w:rPr>
        <w:t xml:space="preserve">Klärung, weshalb die von der Beklagten selbst zugesagte Weiterleitung an die HRMMU nach meiner Kenntnis bis </w:t>
      </w:r>
      <w:r w:rsidRPr="00895D49">
        <w:rPr>
          <w:lang w:val="de-DE"/>
        </w:rPr>
        <w:t>heute nicht erfolgt ist;</w:t>
      </w:r>
    </w:p>
    <w:p w14:paraId="75F9FDE6" w14:textId="77777777" w:rsidR="00694D7C" w:rsidRPr="00895D49" w:rsidRDefault="00895D49">
      <w:pPr>
        <w:pStyle w:val="ListNumber"/>
        <w:rPr>
          <w:lang w:val="de-DE"/>
        </w:rPr>
      </w:pPr>
      <w:r w:rsidRPr="00895D49">
        <w:rPr>
          <w:lang w:val="de-DE"/>
        </w:rPr>
        <w:t>Hinwirken auf eine verbindliche Eskalations- und Kenntnisnahmepflicht bei Eingaben mit Hinweisen auf schwere Menschenrechtsverletzungen, vor jeder automatisierten Schließung;</w:t>
      </w:r>
    </w:p>
    <w:p w14:paraId="128E6422" w14:textId="77777777" w:rsidR="00694D7C" w:rsidRPr="00895D49" w:rsidRDefault="00895D49">
      <w:pPr>
        <w:pStyle w:val="ListNumber"/>
        <w:rPr>
          <w:lang w:val="de-DE"/>
        </w:rPr>
      </w:pPr>
      <w:r w:rsidRPr="00895D49">
        <w:rPr>
          <w:lang w:val="de-DE"/>
        </w:rPr>
        <w:t>Mitteilung des Ergebnisses unter Wahrung der gebotenen V</w:t>
      </w:r>
      <w:r w:rsidRPr="00895D49">
        <w:rPr>
          <w:lang w:val="de-DE"/>
        </w:rPr>
        <w:t>ertraulichkeit; um Eingangsbestätigung und Zuteilung eines Aktenzeichens wird gebeten.</w:t>
      </w:r>
    </w:p>
    <w:p w14:paraId="7BA41E53" w14:textId="408681FD" w:rsidR="00694D7C" w:rsidRPr="00895D49" w:rsidRDefault="00895D49">
      <w:pPr>
        <w:spacing w:after="320"/>
        <w:rPr>
          <w:lang w:val="de-DE"/>
        </w:rPr>
      </w:pPr>
      <w:r w:rsidRPr="00895D49">
        <w:rPr>
          <w:lang w:val="de-DE"/>
        </w:rPr>
        <w:lastRenderedPageBreak/>
        <w:t>Ort, Datum ____________________  Unterschrift _________________</w:t>
      </w:r>
      <w:r w:rsidRPr="00895D49">
        <w:rPr>
          <w:lang w:val="de-DE"/>
        </w:rPr>
        <w:t>(Dr.</w:t>
      </w:r>
      <w:r>
        <w:rPr>
          <w:lang w:val="de-DE"/>
        </w:rPr>
        <w:t xml:space="preserve"> Artiom</w:t>
      </w:r>
      <w:r w:rsidRPr="00895D49">
        <w:rPr>
          <w:lang w:val="de-DE"/>
        </w:rPr>
        <w:t xml:space="preserve"> A. Kovnatsky)</w:t>
      </w:r>
    </w:p>
    <w:p w14:paraId="622C5C46" w14:textId="77777777" w:rsidR="00694D7C" w:rsidRPr="00895D49" w:rsidRDefault="00895D49">
      <w:pPr>
        <w:spacing w:after="0"/>
        <w:rPr>
          <w:lang w:val="de-DE"/>
        </w:rPr>
      </w:pPr>
      <w:r w:rsidRPr="00895D49">
        <w:rPr>
          <w:i/>
          <w:lang w:val="de-DE"/>
        </w:rPr>
        <w:t>Anlagen (vertraulich): Audioaufnahmen und Dokumentenmaterial Fall Krasnikov; Vorgan</w:t>
      </w:r>
      <w:r w:rsidRPr="00895D49">
        <w:rPr>
          <w:i/>
          <w:lang w:val="de-DE"/>
        </w:rPr>
        <w:t>gsdokumentation FACIL mit Bearbeitervermerk und Status „privileged“; Bescheid vom 12.05.2026; Widerspruchsbescheid vom 02.07.2026; Klageschrift VG Berlin (Az. 2 K 202/26).</w:t>
      </w:r>
    </w:p>
    <w:sectPr w:rsidR="00694D7C" w:rsidRPr="00895D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2"/>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4D7C"/>
    <w:rsid w:val="00895D4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0AF66D"/>
  <w14:defaultImageDpi w14:val="300"/>
  <w15:docId w15:val="{0BCD2D89-53C6-F947-871A-53E437388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1209</Words>
  <Characters>6894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2026-07-07T10:45:00Z</dcterms:modified>
  <cp:category/>
</cp:coreProperties>
</file>