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Verwaltungsgericht Berlin</w:t>
      </w:r>
    </w:p>
    <w:p>
      <w:r>
        <w:t>Az.: VG 2 K 202/26</w:t>
      </w:r>
    </w:p>
    <w:p>
      <w:pPr>
        <w:pStyle w:val="Heading2"/>
      </w:pPr>
      <w:r>
        <w:t>02 – Ergänzende Erklärung</w:t>
      </w:r>
    </w:p>
    <w:p>
      <w:pPr>
        <w:pStyle w:val="Heading3"/>
      </w:pPr>
      <w:r>
        <w:t>I. Anlass</w:t>
      </w:r>
    </w:p>
    <w:p>
      <w:r>
        <w:t>Diese Erklärung ergänzt den Antrag auf Akteneinsicht. Sie dient ausschließlich der Präzisierung des Umfangs der beizuziehenden Behördenakte und soll eine vollständige gerichtliche Sachverhaltsaufklärung ermöglichen.</w:t>
      </w:r>
    </w:p>
    <w:p>
      <w:pPr>
        <w:pStyle w:val="Heading3"/>
      </w:pPr>
      <w:r>
        <w:t>II. Vollständigkeit</w:t>
      </w:r>
    </w:p>
    <w:p>
      <w:r>
        <w:t>Nach Kenntnis des Klägers existieren zahlreiche identifizierbare Kommunikations- und Bearbeitungsvorgänge (Telefonate, E‑Mails, Faxe, Einschreiben, FACIL‑Tickets, interne Weiterleitungen und Bearbeitungsvermerke). Die bereits bekannten Vorgänge legen nahe, dass die Behördenakte sowohl Papier- als auch elektronische Bestandteile umfasst.</w:t>
      </w:r>
    </w:p>
    <w:p>
      <w:pPr>
        <w:pStyle w:val="Heading3"/>
      </w:pPr>
      <w:r>
        <w:t>III. Elektronische Aktenbestandteile</w:t>
      </w:r>
    </w:p>
    <w:p>
      <w:r>
        <w:t>Die vollständige Behördenakte sollte insbesondere sämtliche digitalen Bestandteile einschließlich Metadaten, Bearbeitungsprotokollen, Workflow- und Statushistorien, Zugriffsprotokollen, internen Vermerken sowie Löschungs- und Archivierungsinformationen umfassen, soweit vorhanden.</w:t>
      </w:r>
    </w:p>
    <w:p>
      <w:pPr>
        <w:pStyle w:val="Heading3"/>
      </w:pPr>
      <w:r>
        <w:t>IV. DSGVO</w:t>
      </w:r>
    </w:p>
    <w:p>
      <w:r>
        <w:t>Soweit personenbezogene Daten verarbeitet wurden, wird um Berücksichtigung der nach Art. 15 DSGVO auskunftspflichtigen Informationen gebeten, soweit diese für die gerichtliche Überprüfung des Verwaltungsvorgangs relevant sind.</w:t>
      </w:r>
    </w:p>
    <w:p>
      <w:pPr>
        <w:pStyle w:val="Heading3"/>
      </w:pPr>
      <w:r>
        <w:t>V. Schwärzungen</w:t>
      </w:r>
    </w:p>
    <w:p>
      <w:r>
        <w:t>Sollten Unterlagen ganz oder teilweise geschwärzt oder nicht vorgelegt werden, wird um Angabe der jeweiligen Rechtsgrundlage, der verantwortlichen Stelle sowie – soweit möglich – des Umfangs der zurückgehaltenen Informationen gebeten.</w:t>
      </w:r>
    </w:p>
    <w:p>
      <w:pPr>
        <w:pStyle w:val="Heading3"/>
      </w:pPr>
      <w:r>
        <w:t>VI. Suchhilfen</w:t>
      </w:r>
    </w:p>
    <w:p>
      <w:r>
        <w:t>Zur Erleichterung der Aktenrecherche werden in den Anlagen bekannte Ticketnummern, Geschäftszeichen, Kommunikationsdaten, Faxkennungen, Zeiträume und weitere Identifikatoren aufgeführt.</w:t>
      </w:r>
    </w:p>
    <w:p>
      <w:pPr>
        <w:pStyle w:val="Heading3"/>
      </w:pPr>
      <w:r>
        <w:t>VII. Anlagen</w:t>
      </w:r>
    </w:p>
    <w:p>
      <w:r>
        <w:t>Bestandteil dieser Erklärung sind insbesondere:</w:t>
        <w:br/>
        <w:br/>
        <w:t>• Anlage A – Checkliste der vollständigen Behördenakte</w:t>
        <w:br/>
        <w:t>• Anlage B – Kommunikationsübersicht</w:t>
        <w:br/>
        <w:t>• Anlage C – Identifikatoren</w:t>
        <w:br/>
        <w:t>• Anlage D – Chronologie</w:t>
        <w:br/>
        <w:t>• Anlage E – Technische Anforderungen (FACIL / DSGVO)</w:t>
        <w:br/>
        <w:t>• Chronologie_759bc4c4.pdf</w:t>
        <w:br/>
        <w:t>• DIMR_RESPONSE.pdf</w:t>
      </w:r>
    </w:p>
    <w:p>
      <w:pPr>
        <w:pStyle w:val="Heading3"/>
      </w:pPr>
      <w:r>
        <w:t>Schlussbemerkung</w:t>
      </w:r>
    </w:p>
    <w:p>
      <w:r>
        <w:t>Diese Erklärung dient ausschließlich der Sicherstellung einer vollständigen und nachvollziehbaren Aktenvorlage. Sie erweitert den Streitgegenstand nicht, sondern konkretisiert den beantragten Umfang der beizuziehenden Behördenakte.</w:t>
      </w:r>
    </w:p>
    <w:p>
      <w:r>
        <w:br/>
        <w:t>Berlin, ____________</w:t>
        <w:br/>
        <w:br/>
        <w:t>______________________________</w:t>
        <w:br/>
        <w:t>Dr. Artiom Kovnatsky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