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Anlage B (ergänzte Fassung)</w:t>
      </w:r>
    </w:p>
    <w:p>
      <w:pPr>
        <w:pStyle w:val="Heading2"/>
      </w:pPr>
      <w:r>
        <w:t>Ergänzende Identifikatoren und Suchhilfen</w:t>
      </w:r>
    </w:p>
    <w:p>
      <w:pPr>
        <w:pStyle w:val="Heading2"/>
      </w:pPr>
      <w:r>
        <w:t>4a. Bekannte E-Mail-Korrespondenz (ergänzende Suchzeitpunkte)</w:t>
      </w:r>
    </w:p>
    <w:p>
      <w:r>
        <w:t>Die nachfolgende Übersicht ist nicht abschließend. Sie dient ausschließlich als Suchhilfe für elektronische Nachrichten, Metadaten, Archivbestände, Sicherungskopien sowie interne Bearbeitungsvorgänge.</w:t>
      </w:r>
    </w:p>
    <w:p>
      <w:pPr>
        <w:pStyle w:val="ListBullet"/>
      </w:pPr>
      <w:r>
        <w:t>21.09.2025 (ca. 22:44 Uhr)</w:t>
      </w:r>
    </w:p>
    <w:p>
      <w:pPr>
        <w:pStyle w:val="ListBullet"/>
      </w:pPr>
      <w:r>
        <w:t>26.09.2025</w:t>
      </w:r>
    </w:p>
    <w:p>
      <w:pPr>
        <w:pStyle w:val="ListBullet"/>
      </w:pPr>
      <w:r>
        <w:t>29.09.2025</w:t>
      </w:r>
    </w:p>
    <w:p>
      <w:pPr>
        <w:pStyle w:val="ListBullet"/>
      </w:pPr>
      <w:r>
        <w:t>29.09.2025 (ca. 10:00 Uhr)</w:t>
      </w:r>
    </w:p>
    <w:p>
      <w:pPr>
        <w:pStyle w:val="ListBullet"/>
      </w:pPr>
      <w:r>
        <w:t>01.10.2025</w:t>
      </w:r>
    </w:p>
    <w:p>
      <w:pPr>
        <w:pStyle w:val="ListBullet"/>
      </w:pPr>
      <w:r>
        <w:t>22.10.2025</w:t>
      </w:r>
    </w:p>
    <w:p>
      <w:pPr>
        <w:pStyle w:val="ListBullet"/>
      </w:pPr>
      <w:r>
        <w:t>22.10.2025 (ca. 11:00 Uhr)</w:t>
      </w:r>
    </w:p>
    <w:p>
      <w:pPr>
        <w:pStyle w:val="ListBullet"/>
      </w:pPr>
      <w:r>
        <w:t>16.11.2025 (ca. 15:00 Uhr)</w:t>
      </w:r>
    </w:p>
    <w:p>
      <w:pPr>
        <w:pStyle w:val="ListBullet"/>
      </w:pPr>
      <w:r>
        <w:t>17.11.2025</w:t>
      </w:r>
    </w:p>
    <w:p>
      <w:pPr>
        <w:pStyle w:val="ListBullet"/>
      </w:pPr>
      <w:r>
        <w:t>17.11.2025 (ca. 10:00 Uhr)</w:t>
      </w:r>
    </w:p>
    <w:p>
      <w:pPr>
        <w:pStyle w:val="ListBullet"/>
      </w:pPr>
      <w:r>
        <w:t>19.11.2025 (ca. 11:00 Uhr)</w:t>
      </w:r>
    </w:p>
    <w:p>
      <w:pPr>
        <w:pStyle w:val="ListBullet"/>
      </w:pPr>
      <w:r>
        <w:t>19.04.2026</w:t>
      </w:r>
    </w:p>
    <w:p>
      <w:pPr>
        <w:pStyle w:val="ListBullet"/>
      </w:pPr>
      <w:r>
        <w:t>20.04.2026</w:t>
      </w:r>
    </w:p>
    <w:p>
      <w:pPr>
        <w:pStyle w:val="ListBullet"/>
      </w:pPr>
      <w:r>
        <w:t>20.04.2026 (ca. 20:20 Uhr)</w:t>
      </w:r>
    </w:p>
    <w:p>
      <w:pPr>
        <w:pStyle w:val="ListBullet"/>
      </w:pPr>
      <w:r>
        <w:t>17.05.2026</w:t>
      </w:r>
    </w:p>
    <w:p>
      <w:pPr>
        <w:pStyle w:val="ListBullet"/>
      </w:pPr>
      <w:r>
        <w:t>02.06.2026</w:t>
      </w:r>
    </w:p>
    <w:p>
      <w:pPr>
        <w:pStyle w:val="ListBullet"/>
      </w:pPr>
      <w:r>
        <w:t>06.06.2026</w:t>
      </w:r>
    </w:p>
    <w:p>
      <w:pPr>
        <w:pStyle w:val="ListBullet"/>
      </w:pPr>
      <w:r>
        <w:t>07.06.2026</w:t>
      </w:r>
    </w:p>
    <w:p>
      <w:pPr>
        <w:pStyle w:val="ListBullet"/>
      </w:pPr>
      <w:r>
        <w:t>08.06.2026</w:t>
      </w:r>
    </w:p>
    <w:p>
      <w:pPr>
        <w:pStyle w:val="ListBullet"/>
      </w:pPr>
      <w:r>
        <w:t>15.06.2026</w:t>
      </w:r>
    </w:p>
    <w:p>
      <w:pPr>
        <w:pStyle w:val="ListBullet"/>
      </w:pPr>
      <w:r>
        <w:t>24.06.2026</w:t>
      </w:r>
    </w:p>
    <w:p>
      <w:pPr>
        <w:pStyle w:val="ListBullet"/>
      </w:pPr>
      <w:r>
        <w:t>29.06.2026</w:t>
      </w:r>
    </w:p>
    <w:p>
      <w:pPr>
        <w:pStyle w:val="ListBullet"/>
      </w:pPr>
      <w:r>
        <w:t>02.07.2026</w:t>
      </w:r>
    </w:p>
    <w:p>
      <w:pPr>
        <w:pStyle w:val="ListBullet"/>
      </w:pPr>
      <w:r>
        <w:t>06.07.2026</w:t>
      </w:r>
    </w:p>
    <w:p>
      <w:pPr>
        <w:pStyle w:val="ListBullet"/>
      </w:pPr>
      <w:r>
        <w:t>07.07.2026</w:t>
      </w:r>
    </w:p>
    <w:p>
      <w:r>
        <w:t>Zusätzlich sollten Nachrichten mit Datumskennungen wie 17052026, 15062026, 24062026, 25062026, 29062026, 29062026-09-08-CET, 02072026 oder vergleichbaren Schreibweisen berücksichtigt werden.</w:t>
      </w:r>
    </w:p>
    <w:p>
      <w:pPr>
        <w:pStyle w:val="Heading2"/>
      </w:pPr>
      <w:r>
        <w:t>4b. Spiegelzeiten</w:t>
      </w:r>
    </w:p>
    <w:p>
      <w:r>
        <w:t>Da mehrere bekannte Kommunikationsvorgänge zu Spiegelzeiten dokumentiert wurden (z. B. 06:06, 07:07, 08:08 Uhr), wird angeregt, die Recherche auch auf vergleichbare Zeitpunkte (09:09, 10:10, 11:11 usw.) mit einem angemessenen Suchfenster (z. B. ±30 Minuten) auszudehnen, soweit dies technisch möglich ist.</w:t>
      </w:r>
    </w:p>
    <w:p>
      <w:pPr>
        <w:pStyle w:val="Heading2"/>
      </w:pPr>
      <w:r>
        <w:t>5a. Bekannter Telefonkontakt (Audio)</w:t>
      </w:r>
    </w:p>
    <w:p>
      <w:r>
        <w:t>Erster bekannter dokumentierter Telefonkontakt:</w:t>
        <w:br/>
        <w:t>21.09.2025, 21:13 Uhr</w:t>
        <w:br/>
        <w:t>Auswärtiges Amt – Notrufnummer +49 30 1817-0</w:t>
        <w:br/>
        <w:t>Diensthabender Mitarbeiter: interne Kennung 73991 (Namensnennung verweigert)</w:t>
        <w:br/>
        <w:t>Gegenstand: Beratung zu dokumentierten Menschenrechtsverletzungen in der Ukraine.</w:t>
        <w:br/>
        <w:br/>
        <w:t>Soweit vorhanden, wird angeregt, Gesprächsvermerke, Vermittlungsprotokolle, Audioaufzeichnungen, Metadaten oder sonstige Bearbeitungsvermerke in die Recherche einzubeziehen.</w:t>
      </w:r>
    </w:p>
    <w:p>
      <w:pPr>
        <w:pStyle w:val="Heading2"/>
      </w:pPr>
      <w:r>
        <w:t>7a. Erweiterter Recherchezeitraum</w:t>
      </w:r>
    </w:p>
    <w:p>
      <w:r>
        <w:t>Hilfsweiser Suchbeginn:</w:t>
        <w:br/>
        <w:t>09.09.2025, 09:09 Uhr (CET)</w:t>
        <w:br/>
        <w:br/>
        <w:t>Empfohlenes Suchende:</w:t>
        <w:br/>
        <w:t>22.07.2026, 22:07 Uhr (CET)</w:t>
      </w:r>
    </w:p>
    <w:p>
      <w:r>
        <w:t>Das empfohlene Enddatum liegt bewusst nach den derzeit bekannten Kommunikationsvorgängen. Hierdurch sollen auch später entstandene Bearbeitungsvermerke, interne Weiterleitungen, Nachbearbeitungen, Archivierungsvorgänge, Exporte, Löschprotokolle sowie die Bearbeitung der vorliegenden Auskunfts-, Widerspruchs- und Akteneinsichtsanträge erfasst werden, soweit sie dem Verwaltungsvorgang zugeordnet werden können.</w:t>
      </w:r>
    </w:p>
    <w:p>
      <w:pPr>
        <w:pStyle w:val="Heading2"/>
      </w:pPr>
      <w:r>
        <w:t>8a. Weitere Suchparameter</w:t>
      </w:r>
    </w:p>
    <w:p>
      <w:r>
        <w:t>Bei der Recherche sollten insbesondere folgende Vorgänge berücksichtigt werden:</w:t>
      </w:r>
    </w:p>
    <w:p>
      <w:pPr>
        <w:pStyle w:val="ListBullet"/>
      </w:pPr>
      <w:r>
        <w:t>Anträge vom 19.04.2026</w:t>
      </w:r>
    </w:p>
    <w:p>
      <w:pPr>
        <w:pStyle w:val="ListBullet"/>
      </w:pPr>
      <w:r>
        <w:t>Widerspruch</w:t>
      </w:r>
    </w:p>
    <w:p>
      <w:pPr>
        <w:pStyle w:val="ListBullet"/>
      </w:pPr>
      <w:r>
        <w:t>Anträge nach Art. 15 DSGVO vom 08.06.2026 und 07.07.2026</w:t>
      </w:r>
    </w:p>
    <w:p>
      <w:pPr>
        <w:pStyle w:val="ListBullet"/>
      </w:pPr>
      <w:r>
        <w:t>Hauptanträge und jeweilige Antworten</w:t>
      </w:r>
    </w:p>
    <w:p>
      <w:pPr>
        <w:pStyle w:val="ListBullet"/>
      </w:pPr>
      <w:r>
        <w:t>Sämtliche damit zusammenhängenden internen Bearbeitungs-, Kommunikations- und Dokumentationsvorgänge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