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Verwaltungsgericht Berlin</w:t>
      </w:r>
    </w:p>
    <w:p>
      <w:r>
        <w:rPr>
          <w:b/>
        </w:rPr>
        <w:t>Az.: VG 2 K 202/26</w:t>
      </w:r>
    </w:p>
    <w:p/>
    <w:p>
      <w:r>
        <w:rPr>
          <w:b/>
          <w:sz w:val="26"/>
        </w:rPr>
        <w:t>Ergänzender Schriftsatz</w:t>
      </w:r>
    </w:p>
    <w:p>
      <w:r>
        <w:t>zum Antrag auf Akteneinsicht und auf Vorlage der vollständigen Behördenakte</w:t>
      </w:r>
    </w:p>
    <w:p/>
    <w:p>
      <w:pPr>
        <w:pStyle w:val="Heading1"/>
      </w:pPr>
      <w:r>
        <w:rPr>
          <w:color w:val="000000"/>
        </w:rPr>
        <w:t>Inhaltsverzeichnis</w:t>
      </w:r>
    </w:p>
    <w:p>
      <w:pPr>
        <w:pStyle w:val="ListBullet"/>
      </w:pPr>
      <w:r>
        <w:t>I. Verfahrensstand und Gegenstand des Schriftsatzes</w:t>
      </w:r>
    </w:p>
    <w:p>
      <w:pPr>
        <w:pStyle w:val="ListBullet"/>
      </w:pPr>
      <w:r>
        <w:t>II. Anlass des Schriftsatzes</w:t>
      </w:r>
    </w:p>
    <w:p>
      <w:pPr>
        <w:pStyle w:val="ListBullet"/>
      </w:pPr>
      <w:r>
        <w:t>III. Rechtlicher Rahmen</w:t>
      </w:r>
    </w:p>
    <w:p>
      <w:pPr>
        <w:pStyle w:val="ListBullet"/>
      </w:pPr>
      <w:r>
        <w:t>IV. Erforderliche Bestandteile der Behördenakte</w:t>
      </w:r>
    </w:p>
    <w:p>
      <w:pPr>
        <w:pStyle w:val="ListBullet"/>
      </w:pPr>
      <w:r>
        <w:t>V. Anforderungen an die Darlegung fehlender Unterlagen</w:t>
      </w:r>
    </w:p>
    <w:p>
      <w:pPr>
        <w:pStyle w:val="ListBullet"/>
      </w:pPr>
      <w:r>
        <w:t>VI. Kostenfolge bei vollständiger Erledigung</w:t>
      </w:r>
    </w:p>
    <w:p>
      <w:pPr>
        <w:pStyle w:val="ListBullet"/>
      </w:pPr>
      <w:r>
        <w:t>VII. Anträge</w:t>
      </w:r>
    </w:p>
    <w:p>
      <w:pPr>
        <w:pStyle w:val="ListBullet"/>
      </w:pPr>
      <w:r>
        <w:t>VIII. Anlagenverzeichnis</w:t>
      </w:r>
    </w:p>
    <w:p>
      <w:r>
        <w:br w:type="page"/>
      </w:r>
    </w:p>
    <w:p>
      <w:pPr>
        <w:pStyle w:val="Heading1"/>
      </w:pPr>
      <w:r>
        <w:rPr>
          <w:color w:val="000000"/>
        </w:rPr>
        <w:t>I. Verfahrensstand und Gegenstand des Schriftsatzes</w:t>
      </w:r>
    </w:p>
    <w:p>
      <w:r>
        <w:t>Mit diesem Schriftsatz werden die bereits im Verfahren gestellten Anträge auf Akteneinsicht und auf Vorlage der Behördenakte näher strukturiert, konkretisiert und erläutert. Ziel ist es, dem Gericht eine übersichtliche Grundlage für die Prüfung der Vollständigkeit der vorgelegten Verwaltungsunterlagen zu geben.</w:t>
      </w:r>
    </w:p>
    <w:p>
      <w:r>
        <w:t>Der Schriftsatz dient ausschließlich der Ordnung und Präzisierung des bisherigen Vorbringens. Er verfolgt nicht das Ziel, den Streitgegenstand zu erweitern oder neue selbständige Anträge einzuführen. Sämtliche nachfolgenden Ausführungen und Anlagen konkretisieren lediglich den Umfang des bereits mit Antrag vom 19.04.2026 geltend gemachten Auskunfts- und Akteneinsichtsbegehrens.</w:t>
      </w:r>
    </w:p>
    <w:p>
      <w:r>
        <w:t>Aus Sicht des Klägers ist für die gerichtliche Prüfung insbesondere von Bedeutung, dass die Behördenakte – soweit vorhanden – sowohl ihre papiergebundenen als auch ihre elektronischen Bestandteile umfasst und nachvollziehbar geordnet vorgelegt wird.</w:t>
      </w:r>
    </w:p>
    <w:p>
      <w:pPr>
        <w:pStyle w:val="Heading1"/>
      </w:pPr>
      <w:r>
        <w:rPr>
          <w:color w:val="000000"/>
        </w:rPr>
        <w:t>II. Anlass des Schriftsatzes</w:t>
      </w:r>
    </w:p>
    <w:p>
      <w:r>
        <w:t>Der Kläger hat mit Schreiben vom 19.04.2026 beim Beklagten erstmals um vollständige Auskunft und Vorlage sämtlicher zu seiner Person geführten Unterlagen ersucht. Der Beklagte hat auf diese Anfrage – wie sich aus der als Anlage E beigefügten Chronologie ergibt – zunächst nicht vollständig reagiert, sondern wiederholt mitgeteilt, dass Informationen nicht (mehr) vorhanden oder nicht auffindbar seien.</w:t>
      </w:r>
    </w:p>
    <w:p>
      <w:r>
        <w:t>Wäre der Beklagte bereits auf die Anfrage vom 19.04.2026 hin seiner gesetzlichen Auskunfts- und Vorlagepflicht vollständig nachgekommen, hätte es der Erhebung der vorliegenden Klage nicht bedurft. Die Notwendigkeit der Klageerhebung beruht somit unmittelbar auf dem unvollständigen und verzögerten Verhalten des Beklagten.</w:t>
      </w:r>
    </w:p>
    <w:p>
      <w:r>
        <w:t>Dieser ergänzende Schriftsatz wird eingereicht, um die bereits gestellten Anträge auf Akteneinsicht und auf Vorlage der Behördenakte näher zu strukturieren, ohne den Streitgegenstand zu erweitern. Die beigefügten Anlagen A bis F dienen ausschließlich als Orientierungshilfe und enthalten Checklisten, Suchparameter, eine Kommunikationsübersicht, technische Hinweise und eine Chronologie.</w:t>
      </w:r>
    </w:p>
    <w:p>
      <w:pPr>
        <w:pStyle w:val="Heading1"/>
      </w:pPr>
      <w:r>
        <w:rPr>
          <w:color w:val="000000"/>
        </w:rPr>
        <w:t>III. Rechtlicher Rahmen</w:t>
      </w:r>
    </w:p>
    <w:p>
      <w:r>
        <w:t>Nach § 99 Abs. 1 VwGO sind Behörden zur Vorlage von Urkunden oder Akten, zur Übermittlung elektronischer Dokumente und zu Auskünften verpflichtet; führt die Behörde die Akten elektronisch, sind diese als digital durchsuchbare Dokumente vorzulegen, soweit dies technisch möglich ist. Diese Vorlagepflicht bezweckt, dem Gericht die erforderliche Aufklärung des entscheidungserheblichen Sachverhalts zu ermöglichen und den Verfahrensbeteiligten Kenntnis von den entscheidungserheblichen Vorgängen zu verschaffen.</w:t>
      </w:r>
    </w:p>
    <w:p>
      <w:r>
        <w:t>Ergänzend gilt der aus der Rechtsprechung entwickelte Grundsatz der sekundären Darlegungslast: Behauptet die nicht beweisbelastete Partei – hier der Beklagte –, dass bestimmte Unterlagen nicht (mehr) vorhanden seien, obwohl sie allein über die hierfür maßgeblichen Tatsachen verfügt, ist sie gehalten, diese negative Tatsache substantiiert darzulegen. Eine pauschale Behauptung des Nichtvorhandenseins genügt hierfür nicht.</w:t>
      </w:r>
    </w:p>
    <w:p>
      <w:r>
        <w:t>Grundsätze:</w:t>
      </w:r>
    </w:p>
    <w:p>
      <w:pPr>
        <w:pStyle w:val="ListBullet"/>
      </w:pPr>
      <w:r>
        <w:t>Vollständigkeit der dem Gericht vorzulegenden Behördenakte (§ 99 Abs. 1 VwGO).</w:t>
      </w:r>
    </w:p>
    <w:p>
      <w:pPr>
        <w:pStyle w:val="ListBullet"/>
      </w:pPr>
      <w:r>
        <w:t>Nachvollziehbare, chronologisch geordnete Struktur der Unterlagen nach Dokumentengruppen.</w:t>
      </w:r>
    </w:p>
    <w:p>
      <w:pPr>
        <w:pStyle w:val="ListBullet"/>
      </w:pPr>
      <w:r>
        <w:t>Substantiierte, überprüfbare Erläuterung, soweit einzelne Unterlagen nicht vorgelegt werden können.</w:t>
      </w:r>
    </w:p>
    <w:p>
      <w:pPr>
        <w:pStyle w:val="ListBullet"/>
      </w:pPr>
      <w:r>
        <w:t>Beachtung der gesetzlichen Grenzen der Aktenvorlage und des Datenschutzes.</w:t>
      </w:r>
    </w:p>
    <w:p>
      <w:pPr>
        <w:pStyle w:val="Heading1"/>
      </w:pPr>
      <w:r>
        <w:rPr>
          <w:color w:val="000000"/>
        </w:rPr>
        <w:t>IV. Erforderliche Bestandteile der Behördenakte</w:t>
      </w:r>
    </w:p>
    <w:p>
      <w:r>
        <w:t>Nach Auffassung des Klägers sollte die Behördenakte alle Unterlagen umfassen, die Bestandteil des jeweiligen Verwaltungsvorgangs sind und für dessen Nachvollziehbarkeit von Bedeutung sein können. Die nachfolgende Übersicht dient der Strukturierung und verweist auf die vertiefenden Anlagen A bis 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Dokumentengruppe</w:t>
            </w:r>
          </w:p>
        </w:tc>
        <w:tc>
          <w:tcPr>
            <w:tcW w:type="dxa" w:w="2880"/>
            <w:shd w:val="clear" w:color="auto" w:fill="D9D9D9"/>
          </w:tcPr>
          <w:p>
            <w:r>
              <w:rPr>
                <w:b/>
              </w:rPr>
              <w:t>Beispiele</w:t>
            </w:r>
          </w:p>
        </w:tc>
        <w:tc>
          <w:tcPr>
            <w:tcW w:type="dxa" w:w="2880"/>
            <w:shd w:val="clear" w:color="auto" w:fill="D9D9D9"/>
          </w:tcPr>
          <w:p>
            <w:r>
              <w:rPr>
                <w:b/>
              </w:rPr>
              <w:t>Anlage</w:t>
            </w:r>
          </w:p>
        </w:tc>
      </w:tr>
      <w:tr>
        <w:tc>
          <w:tcPr>
            <w:tcW w:type="dxa" w:w="2880"/>
          </w:tcPr>
          <w:p>
            <w:r>
              <w:t>Papierakte</w:t>
            </w:r>
          </w:p>
        </w:tc>
        <w:tc>
          <w:tcPr>
            <w:tcW w:type="dxa" w:w="2880"/>
          </w:tcPr>
          <w:p>
            <w:r>
              <w:t>Schriftstücke, Bescheide, Anlagen</w:t>
            </w:r>
          </w:p>
        </w:tc>
        <w:tc>
          <w:tcPr>
            <w:tcW w:type="dxa" w:w="2880"/>
          </w:tcPr>
          <w:p>
            <w:r>
              <w:t>A</w:t>
            </w:r>
          </w:p>
        </w:tc>
      </w:tr>
      <w:tr>
        <w:tc>
          <w:tcPr>
            <w:tcW w:type="dxa" w:w="2880"/>
          </w:tcPr>
          <w:p>
            <w:r>
              <w:t>E-Mail</w:t>
            </w:r>
          </w:p>
        </w:tc>
        <w:tc>
          <w:tcPr>
            <w:tcW w:type="dxa" w:w="2880"/>
          </w:tcPr>
          <w:p>
            <w:r>
              <w:t>Ein- und ausgehende Nachrichten inkl. Metadaten</w:t>
            </w:r>
          </w:p>
        </w:tc>
        <w:tc>
          <w:tcPr>
            <w:tcW w:type="dxa" w:w="2880"/>
          </w:tcPr>
          <w:p>
            <w:r>
              <w:t>A/C</w:t>
            </w:r>
          </w:p>
        </w:tc>
      </w:tr>
      <w:tr>
        <w:tc>
          <w:tcPr>
            <w:tcW w:type="dxa" w:w="2880"/>
          </w:tcPr>
          <w:p>
            <w:r>
              <w:t>Fax</w:t>
            </w:r>
          </w:p>
        </w:tc>
        <w:tc>
          <w:tcPr>
            <w:tcW w:type="dxa" w:w="2880"/>
          </w:tcPr>
          <w:p>
            <w:r>
              <w:t>Faxe und Sendeberichte</w:t>
            </w:r>
          </w:p>
        </w:tc>
        <w:tc>
          <w:tcPr>
            <w:tcW w:type="dxa" w:w="2880"/>
          </w:tcPr>
          <w:p>
            <w:r>
              <w:t>A/C</w:t>
            </w:r>
          </w:p>
        </w:tc>
      </w:tr>
      <w:tr>
        <w:tc>
          <w:tcPr>
            <w:tcW w:type="dxa" w:w="2880"/>
          </w:tcPr>
          <w:p>
            <w:r>
              <w:t>Post</w:t>
            </w:r>
          </w:p>
        </w:tc>
        <w:tc>
          <w:tcPr>
            <w:tcW w:type="dxa" w:w="2880"/>
          </w:tcPr>
          <w:p>
            <w:r>
              <w:t>Briefe, Einschreiben, Zustellnachweise</w:t>
            </w:r>
          </w:p>
        </w:tc>
        <w:tc>
          <w:tcPr>
            <w:tcW w:type="dxa" w:w="2880"/>
          </w:tcPr>
          <w:p>
            <w:r>
              <w:t>A/C</w:t>
            </w:r>
          </w:p>
        </w:tc>
      </w:tr>
      <w:tr>
        <w:tc>
          <w:tcPr>
            <w:tcW w:type="dxa" w:w="2880"/>
          </w:tcPr>
          <w:p>
            <w:r>
              <w:t>Telefon</w:t>
            </w:r>
          </w:p>
        </w:tc>
        <w:tc>
          <w:tcPr>
            <w:tcW w:type="dxa" w:w="2880"/>
          </w:tcPr>
          <w:p>
            <w:r>
              <w:t>Gesprächsvermerke</w:t>
            </w:r>
          </w:p>
        </w:tc>
        <w:tc>
          <w:tcPr>
            <w:tcW w:type="dxa" w:w="2880"/>
          </w:tcPr>
          <w:p>
            <w:r>
              <w:t>A/C</w:t>
            </w:r>
          </w:p>
        </w:tc>
      </w:tr>
      <w:tr>
        <w:tc>
          <w:tcPr>
            <w:tcW w:type="dxa" w:w="2880"/>
          </w:tcPr>
          <w:p>
            <w:r>
              <w:t>Audio</w:t>
            </w:r>
          </w:p>
        </w:tc>
        <w:tc>
          <w:tcPr>
            <w:tcW w:type="dxa" w:w="2880"/>
          </w:tcPr>
          <w:p>
            <w:r>
              <w:t>Aufzeichnungen, Transkripte</w:t>
            </w:r>
          </w:p>
        </w:tc>
        <w:tc>
          <w:tcPr>
            <w:tcW w:type="dxa" w:w="2880"/>
          </w:tcPr>
          <w:p>
            <w:r>
              <w:t>A</w:t>
            </w:r>
          </w:p>
        </w:tc>
      </w:tr>
      <w:tr>
        <w:tc>
          <w:tcPr>
            <w:tcW w:type="dxa" w:w="2880"/>
          </w:tcPr>
          <w:p>
            <w:r>
              <w:t>Interne Vermerke</w:t>
            </w:r>
          </w:p>
        </w:tc>
        <w:tc>
          <w:tcPr>
            <w:tcW w:type="dxa" w:w="2880"/>
          </w:tcPr>
          <w:p>
            <w:r>
              <w:t>Bearbeitungsvermerke</w:t>
            </w:r>
          </w:p>
        </w:tc>
        <w:tc>
          <w:tcPr>
            <w:tcW w:type="dxa" w:w="2880"/>
          </w:tcPr>
          <w:p>
            <w:r>
              <w:t>A</w:t>
            </w:r>
          </w:p>
        </w:tc>
      </w:tr>
      <w:tr>
        <w:tc>
          <w:tcPr>
            <w:tcW w:type="dxa" w:w="2880"/>
          </w:tcPr>
          <w:p>
            <w:r>
              <w:t>FACIL</w:t>
            </w:r>
          </w:p>
        </w:tc>
        <w:tc>
          <w:tcPr>
            <w:tcW w:type="dxa" w:w="2880"/>
          </w:tcPr>
          <w:p>
            <w:r>
              <w:t>Tickets, Statushistorie</w:t>
            </w:r>
          </w:p>
        </w:tc>
        <w:tc>
          <w:tcPr>
            <w:tcW w:type="dxa" w:w="2880"/>
          </w:tcPr>
          <w:p>
            <w:r>
              <w:t>D</w:t>
            </w:r>
          </w:p>
        </w:tc>
      </w:tr>
      <w:tr>
        <w:tc>
          <w:tcPr>
            <w:tcW w:type="dxa" w:w="2880"/>
          </w:tcPr>
          <w:p>
            <w:r>
              <w:t>Workflow</w:t>
            </w:r>
          </w:p>
        </w:tc>
        <w:tc>
          <w:tcPr>
            <w:tcW w:type="dxa" w:w="2880"/>
          </w:tcPr>
          <w:p>
            <w:r>
              <w:t>Bearbeitungsschritte</w:t>
            </w:r>
          </w:p>
        </w:tc>
        <w:tc>
          <w:tcPr>
            <w:tcW w:type="dxa" w:w="2880"/>
          </w:tcPr>
          <w:p>
            <w:r>
              <w:t>D</w:t>
            </w:r>
          </w:p>
        </w:tc>
      </w:tr>
      <w:tr>
        <w:tc>
          <w:tcPr>
            <w:tcW w:type="dxa" w:w="2880"/>
          </w:tcPr>
          <w:p>
            <w:r>
              <w:t>Audit / Zugriffsprotokolle</w:t>
            </w:r>
          </w:p>
        </w:tc>
        <w:tc>
          <w:tcPr>
            <w:tcW w:type="dxa" w:w="2880"/>
          </w:tcPr>
          <w:p>
            <w:r>
              <w:t>Access Logs, Nutzerkennungen</w:t>
            </w:r>
          </w:p>
        </w:tc>
        <w:tc>
          <w:tcPr>
            <w:tcW w:type="dxa" w:w="2880"/>
          </w:tcPr>
          <w:p>
            <w:r>
              <w:t>D</w:t>
            </w:r>
          </w:p>
        </w:tc>
      </w:tr>
      <w:tr>
        <w:tc>
          <w:tcPr>
            <w:tcW w:type="dxa" w:w="2880"/>
          </w:tcPr>
          <w:p>
            <w:r>
              <w:t>Export-/Druckprotokolle</w:t>
            </w:r>
          </w:p>
        </w:tc>
        <w:tc>
          <w:tcPr>
            <w:tcW w:type="dxa" w:w="2880"/>
          </w:tcPr>
          <w:p>
            <w:r>
              <w:t>Export, Ausdruck</w:t>
            </w:r>
          </w:p>
        </w:tc>
        <w:tc>
          <w:tcPr>
            <w:tcW w:type="dxa" w:w="2880"/>
          </w:tcPr>
          <w:p>
            <w:r>
              <w:t>D</w:t>
            </w:r>
          </w:p>
        </w:tc>
      </w:tr>
      <w:tr>
        <w:tc>
          <w:tcPr>
            <w:tcW w:type="dxa" w:w="2880"/>
          </w:tcPr>
          <w:p>
            <w:r>
              <w:t>Archiv</w:t>
            </w:r>
          </w:p>
        </w:tc>
        <w:tc>
          <w:tcPr>
            <w:tcW w:type="dxa" w:w="2880"/>
          </w:tcPr>
          <w:p>
            <w:r>
              <w:t>Archivinformationen</w:t>
            </w:r>
          </w:p>
        </w:tc>
        <w:tc>
          <w:tcPr>
            <w:tcW w:type="dxa" w:w="2880"/>
          </w:tcPr>
          <w:p>
            <w:r>
              <w:t>D</w:t>
            </w:r>
          </w:p>
        </w:tc>
      </w:tr>
      <w:tr>
        <w:tc>
          <w:tcPr>
            <w:tcW w:type="dxa" w:w="2880"/>
          </w:tcPr>
          <w:p>
            <w:r>
              <w:t>Löschinformationen</w:t>
            </w:r>
          </w:p>
        </w:tc>
        <w:tc>
          <w:tcPr>
            <w:tcW w:type="dxa" w:w="2880"/>
          </w:tcPr>
          <w:p>
            <w:r>
              <w:t>Löschvorgänge, Löschprotokolle</w:t>
            </w:r>
          </w:p>
        </w:tc>
        <w:tc>
          <w:tcPr>
            <w:tcW w:type="dxa" w:w="2880"/>
          </w:tcPr>
          <w:p>
            <w:r>
              <w:t>D</w:t>
            </w:r>
          </w:p>
        </w:tc>
      </w:tr>
      <w:tr>
        <w:tc>
          <w:tcPr>
            <w:tcW w:type="dxa" w:w="2880"/>
          </w:tcPr>
          <w:p>
            <w:r>
              <w:t>DSGVO-Unterlagen</w:t>
            </w:r>
          </w:p>
        </w:tc>
        <w:tc>
          <w:tcPr>
            <w:tcW w:type="dxa" w:w="2880"/>
          </w:tcPr>
          <w:p>
            <w:r>
              <w:t>Auskunftsrelevante Unterlagen (Art. 15 DSGVO)</w:t>
            </w:r>
          </w:p>
        </w:tc>
        <w:tc>
          <w:tcPr>
            <w:tcW w:type="dxa" w:w="2880"/>
          </w:tcPr>
          <w:p>
            <w:r>
              <w:t>D</w:t>
            </w:r>
          </w:p>
        </w:tc>
      </w:tr>
      <w:tr>
        <w:tc>
          <w:tcPr>
            <w:tcW w:type="dxa" w:w="2880"/>
          </w:tcPr>
          <w:p>
            <w:r>
              <w:t>Metadaten</w:t>
            </w:r>
          </w:p>
        </w:tc>
        <w:tc>
          <w:tcPr>
            <w:tcW w:type="dxa" w:w="2880"/>
          </w:tcPr>
          <w:p>
            <w:r>
              <w:t>Zeitstempel, IDs, Systemkennungen</w:t>
            </w:r>
          </w:p>
        </w:tc>
        <w:tc>
          <w:tcPr>
            <w:tcW w:type="dxa" w:w="2880"/>
          </w:tcPr>
          <w:p>
            <w:r>
              <w:t>B/D</w:t>
            </w:r>
          </w:p>
        </w:tc>
      </w:tr>
    </w:tbl>
    <w:p/>
    <w:p>
      <w:r>
        <w:t>Diese Übersicht beschreibt mögliche Bestandteile einer Behördenakte oder eines zugehörigen Verwaltungsvorgangs. Sie stellt keine Behauptung dar, dass sämtliche Kategorien im vorliegenden Verfahren tatsächlich vorhanden sind, sondern begründet lediglich, weshalb ihr Vorhandensein bzw. Nichtvorhandensein aufzuklären ist.</w:t>
      </w:r>
    </w:p>
    <w:p>
      <w:pPr>
        <w:pStyle w:val="Heading1"/>
      </w:pPr>
      <w:r>
        <w:rPr>
          <w:color w:val="000000"/>
        </w:rPr>
        <w:t>V. Anforderungen an die Darlegung fehlender Unterlagen</w:t>
      </w:r>
    </w:p>
    <w:p>
      <w:r>
        <w:t>Nicht in jedem Verwaltungsverfahren werden sämtliche denkbaren Dokumente oder elektronischen Datensätze vorhanden sein. Soweit der Beklagte geltend macht, einzelne Unterlagen oder Datensätze lägen nicht (mehr) vor, obliegt ihm angesichts seiner Sachnähe und im Rahmen der sekundären Darlegungslast eine substantiierte Erläuterung. Der Kläger beantragt, den Beklagten aufzufordern, für jede nicht vorgelegte Unterlage verbindlich und im Einzelnen darzulegen: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D9D9"/>
          </w:tcPr>
          <w:p>
            <w:r>
              <w:rPr>
                <w:b/>
              </w:rPr>
              <w:t>Pflichtangabe</w:t>
            </w:r>
          </w:p>
        </w:tc>
        <w:tc>
          <w:tcPr>
            <w:tcW w:type="dxa" w:w="4320"/>
            <w:shd w:val="clear" w:color="auto" w:fill="D9D9D9"/>
          </w:tcPr>
          <w:p>
            <w:r>
              <w:rPr>
                <w:b/>
              </w:rPr>
              <w:t>Inhalt</w:t>
            </w:r>
          </w:p>
        </w:tc>
      </w:tr>
      <w:tr>
        <w:tc>
          <w:tcPr>
            <w:tcW w:type="dxa" w:w="4320"/>
          </w:tcPr>
          <w:p>
            <w:r>
              <w:t>Existenz</w:t>
            </w:r>
          </w:p>
        </w:tc>
        <w:tc>
          <w:tcPr>
            <w:tcW w:type="dxa" w:w="4320"/>
          </w:tcPr>
          <w:p>
            <w:r>
              <w:t>Ob die betreffende Unterlage bzw. der betreffende Datensatz ursprünglich erstellt bzw. angelegt wurde, und wann.</w:t>
            </w:r>
          </w:p>
        </w:tc>
      </w:tr>
      <w:tr>
        <w:tc>
          <w:tcPr>
            <w:tcW w:type="dxa" w:w="4320"/>
          </w:tcPr>
          <w:p>
            <w:r>
              <w:t>Zeitpunkt und Art des Verlusts</w:t>
            </w:r>
          </w:p>
        </w:tc>
        <w:tc>
          <w:tcPr>
            <w:tcW w:type="dxa" w:w="4320"/>
          </w:tcPr>
          <w:p>
            <w:r>
              <w:t>Zu welchem konkreten Zeitpunkt und durch welchen Vorgang (Löschung, Systemmigration, Fristablauf, technischer Defekt) die Unterlage nicht mehr verfügbar ist.</w:t>
            </w:r>
          </w:p>
        </w:tc>
      </w:tr>
      <w:tr>
        <w:tc>
          <w:tcPr>
            <w:tcW w:type="dxa" w:w="4320"/>
          </w:tcPr>
          <w:p>
            <w:r>
              <w:t>Verantwortlichkeit</w:t>
            </w:r>
          </w:p>
        </w:tc>
        <w:tc>
          <w:tcPr>
            <w:tcW w:type="dxa" w:w="4320"/>
          </w:tcPr>
          <w:p>
            <w:r>
              <w:t>Welche Stelle bzw. welche Person die Löschung, Archivierung oder Nichtübernahme veranlasst oder zu verantworten hat.</w:t>
            </w:r>
          </w:p>
        </w:tc>
      </w:tr>
      <w:tr>
        <w:tc>
          <w:tcPr>
            <w:tcW w:type="dxa" w:w="4320"/>
          </w:tcPr>
          <w:p>
            <w:r>
              <w:t>Rechtsgrundlage</w:t>
            </w:r>
          </w:p>
        </w:tc>
        <w:tc>
          <w:tcPr>
            <w:tcW w:type="dxa" w:w="4320"/>
          </w:tcPr>
          <w:p>
            <w:r>
              <w:t>Auf welcher Rechtsgrundlage oder internen Regelung (z.B. Aufbewahrungsfrist, Löschkonzept) die Nichtverfügbarkeit beruht.</w:t>
            </w:r>
          </w:p>
        </w:tc>
      </w:tr>
      <w:tr>
        <w:tc>
          <w:tcPr>
            <w:tcW w:type="dxa" w:w="4320"/>
          </w:tcPr>
          <w:p>
            <w:r>
              <w:t>Sicherungskopien/Archive</w:t>
            </w:r>
          </w:p>
        </w:tc>
        <w:tc>
          <w:tcPr>
            <w:tcW w:type="dxa" w:w="4320"/>
          </w:tcPr>
          <w:p>
            <w:r>
              <w:t>Ob Sicherungskopien, Archivbestände oder Backups existieren oder existiert haben und weshalb diese nicht vorgelegt werden.</w:t>
            </w:r>
          </w:p>
        </w:tc>
      </w:tr>
      <w:tr>
        <w:tc>
          <w:tcPr>
            <w:tcW w:type="dxa" w:w="4320"/>
          </w:tcPr>
          <w:p>
            <w:r>
              <w:t>Protokollierung</w:t>
            </w:r>
          </w:p>
        </w:tc>
        <w:tc>
          <w:tcPr>
            <w:tcW w:type="dxa" w:w="4320"/>
          </w:tcPr>
          <w:p>
            <w:r>
              <w:t>Ob Zugriffs-, Löschungs- oder Audit-Protokolle (z.B. FACIL-Systemprotokolle gemäß Anlage D) zu dem betreffenden Vorgang bestehen und weshalb diese nicht vorgelegt wurden.</w:t>
            </w:r>
          </w:p>
        </w:tc>
      </w:tr>
    </w:tbl>
    <w:p/>
    <w:p>
      <w:r>
        <w:t>Eine pauschale Mitteilung, Informationen seien 'nicht vorhanden' oder 'nicht auffindbar', ohne die vorstehenden Angaben, genügt den Anforderungen an eine nachvollziehbare Sachaufklärung nicht und ist vom Gericht nicht als ausreichende Erfüllung der Vorlagepflicht nach § 99 Abs. 1 VwGO zu werten.</w:t>
      </w:r>
    </w:p>
    <w:p>
      <w:r>
        <w:t>Soweit der Beklagte im bisherigen Verfahrensverlauf – wie aus Anlage E (Chronologie) ersichtlich – wiederholt das Fehlen von Informationen behauptet hat, ohne die vorstehenden Angaben zu machen, wird angeregt, dem Beklagten hierzu eine Frist zur Nachbesserung zu setzen.</w:t>
      </w:r>
    </w:p>
    <w:p>
      <w:pPr>
        <w:pStyle w:val="Heading1"/>
      </w:pPr>
      <w:r>
        <w:rPr>
          <w:color w:val="000000"/>
        </w:rPr>
        <w:t>VI. Kostenfolge bei vollständiger Erledigung</w:t>
      </w:r>
    </w:p>
    <w:p>
      <w:r>
        <w:t>Sollte der Beklagte im Laufe des Verfahrens sämtliche mit Antrag vom 19.04.2026 sowie mit den vorliegenden Anlagen A bis F konkretisierten Unterlagen vollständig vorlegen bzw. die begehrte Auskunft vollständig erteilen, wird der Kläger den Rechtsstreit in der Hauptsache für erledigt erklären.</w:t>
      </w:r>
    </w:p>
    <w:p>
      <w:r>
        <w:t>Für diesen Fall wird bereits jetzt beantragt, dem Beklagten gemäß § 161 Abs. 2 VwGO die Kosten des Verfahrens in vollem Umfang aufzuerlegen. Nach § 161 Abs. 2 VwGO entscheidet das Gericht bei Erledigung der Hauptsache nach billigem Ermessen über die Kosten; nach ständiger verwaltungsgerichtlicher Praxis entspricht es dabei regelmäßig der Billigkeit, denjenigen Beteiligten mit den Kosten zu belasten, der durch sein eigenes Verhalten die Erledigung – und zuvor die Notwendigkeit der Klageerhebung – veranlasst hat (sog. Veranlasserprinzip).</w:t>
      </w:r>
    </w:p>
    <w:p>
      <w:r>
        <w:t>Im vorliegenden Fall liegt die Veranlassung ausschließlich beim Beklagten: Der Kläger hat bereits am 19.04.2026 vollständige Auskunft und Vorlage der Unterlagen beantragt. Erst die unvollständige Beantwortung und die wiederholte, nicht substantiierte Behauptung, Informationen seien nicht vorhanden, haben die Erhebung der vorliegenden Klage erforderlich gemacht. Hätte der Beklagte bereits auf die ursprüngliche Anfrage hin vollständig und zutreffend Auskunft erteilt, wäre es zu einem gerichtlichen Verfahren nicht gekommen.</w:t>
      </w:r>
    </w:p>
    <w:p>
      <w:r>
        <w:t>Der Kläger beantragt daher ausdrücklich, für den Fall der vollständigen Erledigung durch nachträgliche vollständige Erfüllung des Auskunfts- und Vorlagebegehrens dem Beklagten die gesamten Verfahrenskosten gemäß § 161 Abs. 2 VwGO aufzuerlegen.</w:t>
      </w:r>
    </w:p>
    <w:p>
      <w:pPr>
        <w:pStyle w:val="Heading1"/>
      </w:pPr>
      <w:r>
        <w:rPr>
          <w:color w:val="000000"/>
        </w:rPr>
        <w:t>VII. Anträge</w:t>
      </w:r>
    </w:p>
    <w:p>
      <w:r>
        <w:t>Unter Bezugnahme auf die bisherigen Schriftsätze sowie die vorstehenden Ausführungen beantragt der Kläger:</w:t>
      </w:r>
    </w:p>
    <w:p>
      <w:r>
        <w:t>1. Die vollständige Behördenakte, soweit sie für das vorliegende Verfahren von Bedeutung ist, dem Gericht vorzulegen, einschließlich sämtlicher elektronischer Bestandteile, Metadaten und technischer Begleitinformationen gemäß Anlagen A bis D.</w:t>
      </w:r>
    </w:p>
    <w:p>
      <w:r>
        <w:t>2. Die Unterlagen nachvollziehbar und innerhalb der jeweiligen Dokumentengruppen chronologisch geordnet einzureichen.</w:t>
      </w:r>
    </w:p>
    <w:p>
      <w:r>
        <w:t>3. Den Beklagten aufzufordern, für jede nicht vorgelegte Unterlage die in Abschnitt V dieses Schriftsatzes genannten Angaben (Existenz, Zeitpunkt und Art des Verlusts, Verantwortlichkeit, Rechtsgrundlage, Sicherungskopien, Protokollierung) substantiiert darzulegen.</w:t>
      </w:r>
    </w:p>
    <w:p>
      <w:r>
        <w:t>4. Sämtliche weiteren Unterlagen, Datensätze und elektronischen Aufzeichnungen vorzulegen, die zum Verwaltungsvorgang gehören oder mit diesem in Zusammenhang stehen, auch soweit sie in den Anlagen A bis F nicht ausdrücklich benannt sind, sofern sie für die Nachvollziehbarkeit des Verfahrens von Bedeutung sein können.</w:t>
      </w:r>
    </w:p>
    <w:p>
      <w:r>
        <w:t>5. Für den Fall der vollständigen Erledigung durch nachträgliche vollständige Erfüllung des Auskunfts- und Vorlagebegehrens, dem Beklagten gemäß § 161 Abs. 2 VwGO die gesamten Kosten des Verfahrens aufzuerlegen.</w:t>
      </w:r>
    </w:p>
    <w:p>
      <w:r>
        <w:t>6. Die als Anlagen A bis F beigefügten Übersichten, Checklisten und die Chronologie zur Kenntnis zu nehmen.</w:t>
      </w:r>
    </w:p>
    <w:p>
      <w:r>
        <w:t>Die vorstehenden Anträge dienen ausschließlich der Konkretisierung und Strukturierung des bereits anhängigen Begehrens auf Akteneinsicht und Aktenvorlage. Sie enthalten keine Erweiterung des Streitgegenstandes und keine neuen selbständigen Sachanträge.</w:t>
      </w:r>
    </w:p>
    <w:p>
      <w:pPr>
        <w:pStyle w:val="Heading1"/>
      </w:pPr>
      <w:r>
        <w:rPr>
          <w:color w:val="000000"/>
        </w:rPr>
        <w:t>VIII. Anlagenverzeichnis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Anlage</w:t>
            </w:r>
          </w:p>
        </w:tc>
        <w:tc>
          <w:tcPr>
            <w:tcW w:type="dxa" w:w="2880"/>
            <w:shd w:val="clear" w:color="auto" w:fill="D9D9D9"/>
          </w:tcPr>
          <w:p>
            <w:r>
              <w:rPr>
                <w:b/>
              </w:rPr>
              <w:t>Bezeichnung</w:t>
            </w:r>
          </w:p>
        </w:tc>
        <w:tc>
          <w:tcPr>
            <w:tcW w:type="dxa" w:w="2880"/>
            <w:shd w:val="clear" w:color="auto" w:fill="D9D9D9"/>
          </w:tcPr>
          <w:p>
            <w:r>
              <w:rPr>
                <w:b/>
              </w:rPr>
              <w:t>Zweck</w:t>
            </w:r>
          </w:p>
        </w:tc>
      </w:tr>
      <w:tr>
        <w:tc>
          <w:tcPr>
            <w:tcW w:type="dxa" w:w="2880"/>
          </w:tcPr>
          <w:p>
            <w:r>
              <w:t>A</w:t>
            </w:r>
          </w:p>
        </w:tc>
        <w:tc>
          <w:tcPr>
            <w:tcW w:type="dxa" w:w="2880"/>
          </w:tcPr>
          <w:p>
            <w:r>
              <w:t>Checkliste der erwarteten Dokumentengruppen</w:t>
            </w:r>
          </w:p>
        </w:tc>
        <w:tc>
          <w:tcPr>
            <w:tcW w:type="dxa" w:w="2880"/>
          </w:tcPr>
          <w:p>
            <w:r>
              <w:t>Systematische Übersicht möglicher Bestandteile der Behördenakte.</w:t>
            </w:r>
          </w:p>
        </w:tc>
      </w:tr>
      <w:tr>
        <w:tc>
          <w:tcPr>
            <w:tcW w:type="dxa" w:w="2880"/>
          </w:tcPr>
          <w:p>
            <w:r>
              <w:t>B</w:t>
            </w:r>
          </w:p>
        </w:tc>
        <w:tc>
          <w:tcPr>
            <w:tcW w:type="dxa" w:w="2880"/>
          </w:tcPr>
          <w:p>
            <w:r>
              <w:t>Identifikatoren und Suchparameter</w:t>
            </w:r>
          </w:p>
        </w:tc>
        <w:tc>
          <w:tcPr>
            <w:tcW w:type="dxa" w:w="2880"/>
          </w:tcPr>
          <w:p>
            <w:r>
              <w:t>Erleichterung der Zuordnung elektronischer und papiergebundener Unterlagen.</w:t>
            </w:r>
          </w:p>
        </w:tc>
      </w:tr>
      <w:tr>
        <w:tc>
          <w:tcPr>
            <w:tcW w:type="dxa" w:w="2880"/>
          </w:tcPr>
          <w:p>
            <w:r>
              <w:t>C</w:t>
            </w:r>
          </w:p>
        </w:tc>
        <w:tc>
          <w:tcPr>
            <w:tcW w:type="dxa" w:w="2880"/>
          </w:tcPr>
          <w:p>
            <w:r>
              <w:t>Kommunikationsübersicht</w:t>
            </w:r>
          </w:p>
        </w:tc>
        <w:tc>
          <w:tcPr>
            <w:tcW w:type="dxa" w:w="2880"/>
          </w:tcPr>
          <w:p>
            <w:r>
              <w:t>Übersicht über Kommunikationswege und zugehörige Dokumentengruppen.</w:t>
            </w:r>
          </w:p>
        </w:tc>
      </w:tr>
      <w:tr>
        <w:tc>
          <w:tcPr>
            <w:tcW w:type="dxa" w:w="2880"/>
          </w:tcPr>
          <w:p>
            <w:r>
              <w:t>D</w:t>
            </w:r>
          </w:p>
        </w:tc>
        <w:tc>
          <w:tcPr>
            <w:tcW w:type="dxa" w:w="2880"/>
          </w:tcPr>
          <w:p>
            <w:r>
              <w:t>Technische Anforderungen (FACIL/DSGVO-Protokolle)</w:t>
            </w:r>
          </w:p>
        </w:tc>
        <w:tc>
          <w:tcPr>
            <w:tcW w:type="dxa" w:w="2880"/>
          </w:tcPr>
          <w:p>
            <w:r>
              <w:t>Einordnung technischer Informationen, Metadaten und elektronischer Komponenten.</w:t>
            </w:r>
          </w:p>
        </w:tc>
      </w:tr>
      <w:tr>
        <w:tc>
          <w:tcPr>
            <w:tcW w:type="dxa" w:w="2880"/>
          </w:tcPr>
          <w:p>
            <w:r>
              <w:t>E</w:t>
            </w:r>
          </w:p>
        </w:tc>
        <w:tc>
          <w:tcPr>
            <w:tcW w:type="dxa" w:w="2880"/>
          </w:tcPr>
          <w:p>
            <w:r>
              <w:t>Chronologie</w:t>
            </w:r>
          </w:p>
        </w:tc>
        <w:tc>
          <w:tcPr>
            <w:tcW w:type="dxa" w:w="2880"/>
          </w:tcPr>
          <w:p>
            <w:r>
              <w:t>Zeitliche Übersicht ab Antrag vom 19.04.2026 bis zur Klageerhebung.</w:t>
            </w:r>
          </w:p>
        </w:tc>
      </w:tr>
      <w:tr>
        <w:tc>
          <w:tcPr>
            <w:tcW w:type="dxa" w:w="2880"/>
          </w:tcPr>
          <w:p>
            <w:r>
              <w:t>F</w:t>
            </w:r>
          </w:p>
        </w:tc>
        <w:tc>
          <w:tcPr>
            <w:tcW w:type="dxa" w:w="2880"/>
          </w:tcPr>
          <w:p>
            <w:r>
              <w:t>Ein-Seiten-Synopse für das Gericht</w:t>
            </w:r>
          </w:p>
        </w:tc>
        <w:tc>
          <w:tcPr>
            <w:tcW w:type="dxa" w:w="2880"/>
          </w:tcPr>
          <w:p>
            <w:r>
              <w:t>Kompakte Übersicht über Status, offene Punkte und Kostenfolge.</w:t>
            </w:r>
          </w:p>
        </w:tc>
      </w:tr>
    </w:tbl>
    <w:p/>
    <w:p>
      <w:r>
        <w:t>Der Kläger behält sich vor, zu den vorgelegten Akten nach erfolgter Akteneinsicht ergänzend Stellung zu nehmen, soweit sich aus deren Inhalt hierfür Anlass ergibt.</w:t>
      </w:r>
    </w:p>
    <w:p/>
    <w:p>
      <w:r>
        <w:t>Berlin, den 18.07.2026</w:t>
      </w:r>
    </w:p>
    <w:p/>
    <w:p>
      <w:r>
        <w:t>_______________________________</w:t>
      </w:r>
    </w:p>
    <w:p>
      <w:r>
        <w:t>(Unterschrift Kläger)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