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Anlage C</w:t>
      </w:r>
    </w:p>
    <w:p>
      <w:pPr>
        <w:pStyle w:val="Heading2"/>
      </w:pPr>
      <w:r>
        <w:t>Kommunikationsübersicht</w:t>
      </w:r>
    </w:p>
    <w:p>
      <w:r>
        <w:t>Az.: VG 2 K 202/26</w:t>
        <w:br/>
        <w:br/>
        <w:t>Diese Anlage fasst die bekannten Kommunikationswege und Suchkriterien zusammen. Sie dient als Orientierung für die Vollständigkeitsprüfung der Behördenakte.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Kommunikationsart</w:t>
            </w:r>
          </w:p>
        </w:tc>
        <w:tc>
          <w:tcPr>
            <w:tcW w:type="dxa" w:w="1728"/>
          </w:tcPr>
          <w:p>
            <w:r>
              <w:t>Zeitraum/Datum</w:t>
            </w:r>
          </w:p>
        </w:tc>
        <w:tc>
          <w:tcPr>
            <w:tcW w:type="dxa" w:w="1728"/>
          </w:tcPr>
          <w:p>
            <w:r>
              <w:t>Beteiligte</w:t>
            </w:r>
          </w:p>
        </w:tc>
        <w:tc>
          <w:tcPr>
            <w:tcW w:type="dxa" w:w="1728"/>
          </w:tcPr>
          <w:p>
            <w:r>
              <w:t>Nachweise</w:t>
            </w:r>
          </w:p>
        </w:tc>
        <w:tc>
          <w:tcPr>
            <w:tcW w:type="dxa" w:w="1728"/>
          </w:tcPr>
          <w:p>
            <w:r>
              <w:t>Bemerkungen</w:t>
            </w:r>
          </w:p>
        </w:tc>
      </w:tr>
      <w:tr>
        <w:tc>
          <w:tcPr>
            <w:tcW w:type="dxa" w:w="1728"/>
          </w:tcPr>
          <w:p>
            <w:r>
              <w:t>E-Mail</w:t>
            </w:r>
          </w:p>
        </w:tc>
        <w:tc>
          <w:tcPr>
            <w:tcW w:type="dxa" w:w="1728"/>
          </w:tcPr>
          <w:p>
            <w:r>
              <w:t>gesamter Verfahrenszeitraum</w:t>
            </w:r>
          </w:p>
        </w:tc>
        <w:tc>
          <w:tcPr>
            <w:tcW w:type="dxa" w:w="1728"/>
          </w:tcPr>
          <w:p>
            <w:r>
              <w:t>Kläger / Auswärtiges Amt</w:t>
            </w:r>
          </w:p>
        </w:tc>
        <w:tc>
          <w:tcPr>
            <w:tcW w:type="dxa" w:w="1728"/>
          </w:tcPr>
          <w:p>
            <w:r>
              <w:t>EML, Header, Metadaten</w:t>
            </w:r>
          </w:p>
        </w:tc>
        <w:tc>
          <w:tcPr>
            <w:tcW w:type="dxa" w:w="1728"/>
          </w:tcPr>
          <w:p>
            <w:r>
              <w:t>inkl. interner Weiterleitungen</w:t>
            </w:r>
          </w:p>
        </w:tc>
      </w:tr>
      <w:tr>
        <w:tc>
          <w:tcPr>
            <w:tcW w:type="dxa" w:w="1728"/>
          </w:tcPr>
          <w:p>
            <w:r>
              <w:t>Fax</w:t>
            </w:r>
          </w:p>
        </w:tc>
        <w:tc>
          <w:tcPr>
            <w:tcW w:type="dxa" w:w="1728"/>
          </w:tcPr>
          <w:p>
            <w:r>
              <w:t>bekannte Faxsendungen</w:t>
            </w:r>
          </w:p>
        </w:tc>
        <w:tc>
          <w:tcPr>
            <w:tcW w:type="dxa" w:w="1728"/>
          </w:tcPr>
          <w:p>
            <w:r>
              <w:t>Kläger / Auswärtiges Amt</w:t>
            </w:r>
          </w:p>
        </w:tc>
        <w:tc>
          <w:tcPr>
            <w:tcW w:type="dxa" w:w="1728"/>
          </w:tcPr>
          <w:p>
            <w:r>
              <w:t>Sende- und Empfangsprotokolle</w:t>
            </w:r>
          </w:p>
        </w:tc>
        <w:tc>
          <w:tcPr>
            <w:tcW w:type="dxa" w:w="1728"/>
          </w:tcPr>
          <w:p>
            <w:r>
              <w:t>inkl. Fax-IDs</w:t>
            </w:r>
          </w:p>
        </w:tc>
      </w:tr>
      <w:tr>
        <w:tc>
          <w:tcPr>
            <w:tcW w:type="dxa" w:w="1728"/>
          </w:tcPr>
          <w:p>
            <w:r>
              <w:t>Telefon</w:t>
            </w:r>
          </w:p>
        </w:tc>
        <w:tc>
          <w:tcPr>
            <w:tcW w:type="dxa" w:w="1728"/>
          </w:tcPr>
          <w:p>
            <w:r>
              <w:t>gesamter Zeitraum</w:t>
            </w:r>
          </w:p>
        </w:tc>
        <w:tc>
          <w:tcPr>
            <w:tcW w:type="dxa" w:w="1728"/>
          </w:tcPr>
          <w:p>
            <w:r>
              <w:t>Kläger / Mitarbeiter</w:t>
            </w:r>
          </w:p>
        </w:tc>
        <w:tc>
          <w:tcPr>
            <w:tcW w:type="dxa" w:w="1728"/>
          </w:tcPr>
          <w:p>
            <w:r>
              <w:t>Gesprächsvermerke</w:t>
            </w:r>
          </w:p>
        </w:tc>
        <w:tc>
          <w:tcPr>
            <w:tcW w:type="dxa" w:w="1728"/>
          </w:tcPr>
          <w:p>
            <w:r>
              <w:t>ggf. Aufzeichnungen</w:t>
            </w:r>
          </w:p>
        </w:tc>
      </w:tr>
      <w:tr>
        <w:tc>
          <w:tcPr>
            <w:tcW w:type="dxa" w:w="1728"/>
          </w:tcPr>
          <w:p>
            <w:r>
              <w:t>Einschreiben</w:t>
            </w:r>
          </w:p>
        </w:tc>
        <w:tc>
          <w:tcPr>
            <w:tcW w:type="dxa" w:w="1728"/>
          </w:tcPr>
          <w:p>
            <w:r>
              <w:t>gesamter Zeitraum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Einlieferungs-/Zustellnachweise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FACIL</w:t>
            </w:r>
          </w:p>
        </w:tc>
        <w:tc>
          <w:tcPr>
            <w:tcW w:type="dxa" w:w="1728"/>
          </w:tcPr>
          <w:p>
            <w:r>
              <w:t>gesamter Zeitraum</w:t>
            </w:r>
          </w:p>
        </w:tc>
        <w:tc>
          <w:tcPr>
            <w:tcW w:type="dxa" w:w="1728"/>
          </w:tcPr>
          <w:p>
            <w:r>
              <w:t>Sachbearbeitung</w:t>
            </w:r>
          </w:p>
        </w:tc>
        <w:tc>
          <w:tcPr>
            <w:tcW w:type="dxa" w:w="1728"/>
          </w:tcPr>
          <w:p>
            <w:r>
              <w:t>Ticketverlauf</w:t>
            </w:r>
          </w:p>
        </w:tc>
        <w:tc>
          <w:tcPr>
            <w:tcW w:type="dxa" w:w="1728"/>
          </w:tcPr>
          <w:p>
            <w:r>
              <w:t>Statushistorie</w:t>
            </w:r>
          </w:p>
        </w:tc>
      </w:tr>
      <w:tr>
        <w:tc>
          <w:tcPr>
            <w:tcW w:type="dxa" w:w="1728"/>
          </w:tcPr>
          <w:p>
            <w:r>
              <w:t>Interne Kommunikation</w:t>
            </w:r>
          </w:p>
        </w:tc>
        <w:tc>
          <w:tcPr>
            <w:tcW w:type="dxa" w:w="1728"/>
          </w:tcPr>
          <w:p>
            <w:r>
              <w:t>gesamter Zeitraum</w:t>
            </w:r>
          </w:p>
        </w:tc>
        <w:tc>
          <w:tcPr>
            <w:tcW w:type="dxa" w:w="1728"/>
          </w:tcPr>
          <w:p>
            <w:r>
              <w:t>Referate</w:t>
            </w:r>
          </w:p>
        </w:tc>
        <w:tc>
          <w:tcPr>
            <w:tcW w:type="dxa" w:w="1728"/>
          </w:tcPr>
          <w:p>
            <w:r>
              <w:t>Vermerke / E-Mails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Bekannte Suchparameter</w:t>
      </w:r>
    </w:p>
    <w:p>
      <w:r>
        <w:t>• Erster bekannter Kontakt: 21.09.2025, 21:13 Uhr (hilfsweise Suchbeginn 09.09.2025, 09:09 Uhr CET)</w:t>
        <w:br/>
        <w:t>• Suchende: mindestens 22.07.2026, 22:22 Uhr CET</w:t>
        <w:br/>
        <w:t>• Alle bekannten E-Mail-Adressen, Telefonnummern, Faxkennungen, Ticket-IDs und Geschäftszeichen gemäß Anlage B berücksichtigen.</w:t>
      </w:r>
    </w:p>
    <w:p>
      <w:pPr>
        <w:pStyle w:val="Heading2"/>
      </w:pPr>
      <w:r>
        <w:t>Hinweis</w:t>
      </w:r>
    </w:p>
    <w:p>
      <w:r>
        <w:t>Diese Übersicht ist nicht abschließend. Sie konkretisiert den beantragten Umfang der beizuziehenden Behördenakte und erleichtert die Prüfung ihrer Vollständigkeit.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