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jc w:val="center"/>
      </w:pPr>
      <w:r>
        <w:rPr>
          <w:rFonts w:ascii="Georgia" w:cs="Georgia" w:eastAsia="Georgia" w:hAnsi="Georgia"/>
          <w:b/>
          <w:bCs/>
          <w:sz w:val="32"/>
          <w:szCs w:val="32"/>
        </w:rPr>
        <w:t xml:space="preserve">ЛИТИГАЦИОННЫЙ ПАКЕТ v7 (FINAL)</w:t>
      </w:r>
    </w:p>
    <w:p>
      <w:pPr>
        <w:spacing w:after="20" w:before="0"/>
        <w:jc w:val="center"/>
      </w:pPr>
      <w:r>
        <w:rPr>
          <w:rFonts w:ascii="Georgia" w:cs="Georgia" w:eastAsia="Georgia" w:hAnsi="Georgia"/>
          <w:b/>
          <w:bCs/>
          <w:color w:val="8B0000"/>
          <w:sz w:val="21"/>
          <w:szCs w:val="21"/>
        </w:rPr>
        <w:t xml:space="preserve">24.06 Abmahnung + 25.06 Klage &amp; Eilantrag (§ 123 VwGO)</w:t>
      </w:r>
    </w:p>
    <w:p>
      <w:pPr>
        <w:spacing w:after="20" w:before="0"/>
        <w:jc w:val="center"/>
      </w:pPr>
      <w:r>
        <w:rPr>
          <w:rFonts w:ascii="Georgia" w:cs="Georgia" w:eastAsia="Georgia" w:hAnsi="Georgia"/>
          <w:i/>
          <w:iCs/>
          <w:color w:val="555555"/>
          <w:sz w:val="20"/>
          <w:szCs w:val="20"/>
        </w:rPr>
        <w:t xml:space="preserve">759bc4c4 / GZ R20-511.03 IFG 123-2026 / AR 2734/26 — 19.06.2026</w:t>
      </w:r>
    </w:p>
    <w:p>
      <w:pPr>
        <w:pBdr>
          <w:bottom w:val="single" w:color="AAAAAA" w:sz="2" w:space="1"/>
        </w:pBdr>
        <w:spacing w:after="100" w:before="100"/>
      </w:pPr>
    </w:p>
    <w:p>
      <w:pPr>
        <w:spacing w:after="120" w:before="300"/>
      </w:pPr>
      <w:r>
        <w:rPr>
          <w:rFonts w:ascii="Georgia" w:cs="Georgia" w:eastAsia="Georgia" w:hAnsi="Georgia"/>
          <w:b/>
          <w:bCs/>
          <w:color w:val="1a1a1a"/>
          <w:sz w:val="28"/>
          <w:szCs w:val="28"/>
        </w:rPr>
        <w:t xml:space="preserve">Одно различение — в вашу пользу</w:t>
      </w:r>
    </w:p>
    <w:p>
      <w:pPr>
        <w:spacing w:after="70" w:before="70"/>
        <w:jc w:val="both"/>
      </w:pPr>
      <w:r>
        <w:rPr>
          <w:rFonts w:ascii="Georgia" w:cs="Georgia" w:eastAsia="Georgia" w:hAnsi="Georgia"/>
          <w:sz w:val="22"/>
          <w:szCs w:val="22"/>
        </w:rPr>
        <w:t xml:space="preserve">Ваш самый сильный аргумент — МЕТАДАННЫЕ. Поэтому Eilantrag построен как </w:t>
      </w:r>
      <w:r>
        <w:rPr>
          <w:rFonts w:ascii="Georgia" w:cs="Georgia" w:eastAsia="Georgia" w:hAnsi="Georgia"/>
          <w:b/>
          <w:bCs/>
          <w:sz w:val="22"/>
          <w:szCs w:val="22"/>
        </w:rPr>
        <w:t xml:space="preserve">Sicherungsanordnung</w:t>
      </w:r>
      <w:r>
        <w:rPr>
          <w:rFonts w:ascii="Georgia" w:cs="Georgia" w:eastAsia="Georgia" w:hAnsi="Georgia"/>
          <w:sz w:val="22"/>
          <w:szCs w:val="22"/>
        </w:rPr>
        <w:t xml:space="preserve"> (заморозка статус-кво), А НЕ как требование выдачи. Разница критична: для «заморозьте до решения» стандарт срочности МЯГЧЕ, чем для «выдайте сейчас». Вы не просите суд раскрыть логи (это основное дело) — вы просите ИХ СОХРАНИТЬ.</w:t>
      </w:r>
    </w:p>
    <w:p>
      <w:pPr>
        <w:spacing w:after="70" w:before="70"/>
        <w:jc w:val="both"/>
      </w:pPr>
      <w:r>
        <w:rPr>
          <w:rFonts w:ascii="Georgia" w:cs="Georgia" w:eastAsia="Georgia" w:hAnsi="Georgia"/>
          <w:sz w:val="22"/>
          <w:szCs w:val="22"/>
        </w:rPr>
        <w:t xml:space="preserve">Эффект для ASPE: если суд всё равно откажет в заморозке улик — это будет выглядеть как суд, </w:t>
      </w:r>
      <w:r>
        <w:rPr>
          <w:rFonts w:ascii="Georgia" w:cs="Georgia" w:eastAsia="Georgia" w:hAnsi="Georgia"/>
          <w:b/>
          <w:bCs/>
          <w:sz w:val="22"/>
          <w:szCs w:val="22"/>
        </w:rPr>
        <w:t xml:space="preserve">отказавшийся сохранить доказательства возможного должностного преступления</w:t>
      </w:r>
      <w:r>
        <w:rPr>
          <w:rFonts w:ascii="Georgia" w:cs="Georgia" w:eastAsia="Georgia" w:hAnsi="Georgia"/>
          <w:sz w:val="22"/>
          <w:szCs w:val="22"/>
        </w:rPr>
        <w:t xml:space="preserve"> — в сто раз сильнее для вашего перформанса, чем отказ по формальной дате. Так что разделение — не смягчение, а усиление.</w:t>
      </w:r>
    </w:p>
    <w:p>
      <w:pPr>
        <w:spacing w:after="70" w:before="70"/>
        <w:jc w:val="both"/>
      </w:pPr>
      <w:r>
        <w:rPr>
          <w:rFonts w:ascii="Georgia" w:cs="Georgia" w:eastAsia="Georgia" w:hAnsi="Georgia"/>
          <w:b/>
          <w:bCs/>
          <w:sz w:val="22"/>
          <w:szCs w:val="22"/>
        </w:rPr>
        <w:t xml:space="preserve">Что я сохранил по вашему требованию: </w:t>
      </w:r>
      <w:r>
        <w:rPr>
          <w:rFonts w:ascii="Georgia" w:cs="Georgia" w:eastAsia="Georgia" w:hAnsi="Georgia"/>
          <w:sz w:val="22"/>
          <w:szCs w:val="22"/>
        </w:rPr>
        <w:t xml:space="preserve">жёсткость, фактор Холокоста, обход 3-месячного срока через zwingende Gründe, Eilantrag 25.06, копия в посольство Израиля, ASPE/Art. 5 GG. Всё на месте.</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ДОКУМЕНТ A — Abmahnung (24.06.2026)</w:t>
      </w:r>
    </w:p>
    <w:p>
      <w:pPr>
        <w:spacing w:after="70" w:before="70"/>
        <w:jc w:val="both"/>
      </w:pPr>
      <w:r>
        <w:rPr>
          <w:rFonts w:ascii="Georgia" w:cs="Georgia" w:eastAsia="Georgia" w:hAnsi="Georgia"/>
          <w:i/>
          <w:iCs/>
          <w:sz w:val="22"/>
          <w:szCs w:val="22"/>
        </w:rPr>
        <w:t xml:space="preserve">Досудебный ультиматум в R20. Einschreiben mit Rückschein + Telefax в тот же день.</w:t>
      </w:r>
    </w:p>
    <w:p>
      <w:pPr>
        <w:spacing w:after="0" w:before="20"/>
      </w:pPr>
    </w:p>
    <w:p>
      <w:pPr>
        <w:pBdr>
          <w:left w:val="single" w:color="6B7280" w:sz="8" w:space="8"/>
        </w:pBdr>
        <w:spacing w:after="34" w:before="34"/>
        <w:ind w:left="300" w:right="300"/>
      </w:pPr>
      <w:r>
        <w:rPr>
          <w:rFonts w:ascii="Georgia" w:cs="Georgia" w:eastAsia="Georgia" w:hAnsi="Georgia"/>
          <w:sz w:val="19"/>
          <w:szCs w:val="19"/>
        </w:rPr>
        <w:t xml:space="preserve">Dr. Artiom Kovnatsky</w:t>
      </w:r>
    </w:p>
    <w:p>
      <w:pPr>
        <w:pBdr>
          <w:left w:val="single" w:color="6B7280" w:sz="8" w:space="8"/>
        </w:pBdr>
        <w:spacing w:after="34" w:before="34"/>
        <w:ind w:left="300" w:right="300"/>
      </w:pPr>
      <w:r>
        <w:rPr>
          <w:rFonts w:ascii="Georgia" w:cs="Georgia" w:eastAsia="Georgia" w:hAnsi="Georgia"/>
          <w:sz w:val="19"/>
          <w:szCs w:val="19"/>
        </w:rPr>
        <w:t xml:space="preserve">Dahlmannstraße 17, 10629 Berlin | artiom.kovnatsky@gmail.com | Tel.: +49 176 301 628 34</w:t>
      </w:r>
    </w:p>
    <w:p>
      <w:pPr>
        <w:spacing w:after="0" w:before="8"/>
      </w:pPr>
    </w:p>
    <w:p>
      <w:pPr>
        <w:pBdr>
          <w:left w:val="single" w:color="6B7280" w:sz="8" w:space="8"/>
        </w:pBdr>
        <w:spacing w:after="34" w:before="34"/>
        <w:ind w:left="300" w:right="300"/>
      </w:pPr>
      <w:r>
        <w:rPr>
          <w:rFonts w:ascii="Georgia" w:cs="Georgia" w:eastAsia="Georgia" w:hAnsi="Georgia"/>
          <w:i/>
          <w:iCs/>
          <w:sz w:val="19"/>
          <w:szCs w:val="19"/>
        </w:rPr>
        <w:t xml:space="preserve">Berlin, den 24.06.2026 — Einschreiben mit Rückschein, vorab per Telefax</w:t>
      </w:r>
    </w:p>
    <w:p>
      <w:pPr>
        <w:spacing w:after="0" w:before="8"/>
      </w:pPr>
    </w:p>
    <w:p>
      <w:pPr>
        <w:pBdr>
          <w:left w:val="single" w:color="6B7280" w:sz="8" w:space="8"/>
        </w:pBdr>
        <w:spacing w:after="34" w:before="34"/>
        <w:ind w:left="300" w:right="300"/>
      </w:pPr>
      <w:r>
        <w:rPr>
          <w:rFonts w:ascii="Georgia" w:cs="Georgia" w:eastAsia="Georgia" w:hAnsi="Georgia"/>
          <w:sz w:val="19"/>
          <w:szCs w:val="19"/>
        </w:rPr>
        <w:t xml:space="preserve">An das Auswärtige Amt, Referat R20 (IFG)</w:t>
      </w:r>
    </w:p>
    <w:p>
      <w:pPr>
        <w:pBdr>
          <w:left w:val="single" w:color="6B7280" w:sz="8" w:space="8"/>
        </w:pBdr>
        <w:spacing w:after="34" w:before="34"/>
        <w:ind w:left="300" w:right="300"/>
      </w:pPr>
      <w:r>
        <w:rPr>
          <w:rFonts w:ascii="Georgia" w:cs="Georgia" w:eastAsia="Georgia" w:hAnsi="Georgia"/>
          <w:sz w:val="19"/>
          <w:szCs w:val="19"/>
        </w:rPr>
        <w:t xml:space="preserve">Werderscher Markt 1, 10117 Berlin</w:t>
      </w:r>
    </w:p>
    <w:p>
      <w:pPr>
        <w:pBdr>
          <w:left w:val="single" w:color="6B7280" w:sz="8" w:space="8"/>
        </w:pBdr>
        <w:spacing w:after="34" w:before="34"/>
        <w:ind w:left="300" w:right="300"/>
      </w:pPr>
      <w:r>
        <w:rPr>
          <w:rFonts w:ascii="Georgia" w:cs="Georgia" w:eastAsia="Georgia" w:hAnsi="Georgia"/>
          <w:i/>
          <w:iCs/>
          <w:sz w:val="19"/>
          <w:szCs w:val="19"/>
        </w:rPr>
        <w:t xml:space="preserve">Nachrichtlich: Bundeskanzleramt; Der Bundesbeauftragte für den Datenschutz und die Informationsfreiheit (BfDI); Bundesverfassungsgericht (AR 2734/26); Botschaft des Staates Israel in Berlin</w:t>
      </w:r>
    </w:p>
    <w:p>
      <w:pPr>
        <w:spacing w:after="0" w:before="8"/>
      </w:pPr>
    </w:p>
    <w:p>
      <w:pPr>
        <w:pBdr>
          <w:left w:val="single" w:color="6B7280" w:sz="8" w:space="8"/>
        </w:pBdr>
        <w:spacing w:after="34" w:before="34"/>
        <w:ind w:left="300" w:right="300"/>
      </w:pPr>
      <w:r>
        <w:rPr>
          <w:rFonts w:ascii="Georgia" w:cs="Georgia" w:eastAsia="Georgia" w:hAnsi="Georgia"/>
          <w:b/>
          <w:bCs/>
          <w:sz w:val="19"/>
          <w:szCs w:val="19"/>
        </w:rPr>
        <w:t xml:space="preserve">Betreff: Letzte Fristsetzung vor Klageerhebung — Vorgang 759bc4c4 / GZ R20-511.03 IFG 123-2026</w:t>
      </w:r>
    </w:p>
    <w:p>
      <w:pPr>
        <w:pBdr>
          <w:left w:val="single" w:color="6B7280" w:sz="8" w:space="8"/>
        </w:pBdr>
        <w:spacing w:after="34" w:before="34"/>
        <w:ind w:left="300" w:right="300"/>
      </w:pPr>
      <w:r>
        <w:rPr>
          <w:rFonts w:ascii="Georgia" w:cs="Georgia" w:eastAsia="Georgia" w:hAnsi="Georgia"/>
          <w:b/>
          <w:bCs/>
          <w:sz w:val="19"/>
          <w:szCs w:val="19"/>
        </w:rPr>
        <w:t xml:space="preserve">Hier: Widerspruch zur eigenen Aktenlage (FACIL), Antrag auf sofortige Bestätigung der Datenintegrität (Löschungsmoratorium), Ankündigung von Klage und Eilantrag (§ 123 VwGO) zum 25.06.2026</w:t>
      </w:r>
    </w:p>
    <w:p>
      <w:pPr>
        <w:spacing w:after="0" w:before="8"/>
      </w:pPr>
    </w:p>
    <w:p>
      <w:pPr>
        <w:pBdr>
          <w:left w:val="single" w:color="6B7280" w:sz="8" w:space="8"/>
        </w:pBdr>
        <w:spacing w:after="34" w:before="34"/>
        <w:ind w:left="300" w:right="300"/>
      </w:pPr>
      <w:r>
        <w:rPr>
          <w:rFonts w:ascii="Georgia" w:cs="Georgia" w:eastAsia="Georgia" w:hAnsi="Georgia"/>
          <w:sz w:val="19"/>
          <w:szCs w:val="19"/>
        </w:rPr>
        <w:t xml:space="preserve">Sehr geehrte Frau Schütz, sehr geehrte Damen und Herren,</w:t>
      </w:r>
    </w:p>
    <w:p>
      <w:pPr>
        <w:pBdr>
          <w:left w:val="single" w:color="6B7280" w:sz="8" w:space="8"/>
        </w:pBdr>
        <w:spacing w:after="34" w:before="34"/>
        <w:ind w:left="300" w:right="300"/>
      </w:pPr>
      <w:r>
        <w:rPr>
          <w:rFonts w:ascii="Georgia" w:cs="Georgia" w:eastAsia="Georgia" w:hAnsi="Georgia"/>
          <w:sz w:val="19"/>
          <w:szCs w:val="19"/>
        </w:rPr>
        <w:t xml:space="preserve">ich nehme Bezug auf Ihren Zwischenbescheid vom 15.06.2026, meinen Widerspruch vom 08.06.2026 sowie den Bescheid vom 12.05.2026.</w:t>
      </w:r>
    </w:p>
    <w:p>
      <w:pPr>
        <w:pBdr>
          <w:left w:val="single" w:color="6B7280" w:sz="8" w:space="8"/>
        </w:pBdr>
        <w:spacing w:after="34" w:before="34"/>
        <w:ind w:left="300" w:right="300"/>
      </w:pPr>
      <w:r>
        <w:rPr>
          <w:rFonts w:ascii="Georgia" w:cs="Georgia" w:eastAsia="Georgia" w:hAnsi="Georgia"/>
          <w:b/>
          <w:bCs/>
          <w:sz w:val="19"/>
          <w:szCs w:val="19"/>
        </w:rPr>
        <w:t xml:space="preserve">I. Ihre Tatsachenbehauptung widerspricht Ihrer eigenen Aktenlage</w:t>
      </w:r>
    </w:p>
    <w:p>
      <w:pPr>
        <w:pBdr>
          <w:left w:val="single" w:color="6B7280" w:sz="8" w:space="8"/>
        </w:pBdr>
        <w:spacing w:after="34" w:before="34"/>
        <w:ind w:left="300" w:right="300"/>
      </w:pPr>
      <w:r>
        <w:rPr>
          <w:rFonts w:ascii="Georgia" w:cs="Georgia" w:eastAsia="Georgia" w:hAnsi="Georgia"/>
          <w:sz w:val="19"/>
          <w:szCs w:val="19"/>
        </w:rPr>
        <w:t xml:space="preserve">Ihr Bescheid vom 12.05.2026 behauptet, es lägen „keine amtlichen Informationen“ im Sinne von § 2 Nr. 1 IFG vor. Diese Behauptung ist nachweislich unzutreffend. Die mir vorliegende Ticket-Übersicht zum Vorgang 759bc4c4 weist über dreißig (30+) Anhänge im Status „privileged“ aus, einen namentlichen Bearbeiter (dirk.hennig@diplo.de, 23.09.2025), eine interne FACIL-Weiterleitung (22.10.2025) sowie eine inhaltliche Bearbeitung durch Herrn Nebel (20.11.2025). Der Status „privileged“ bedeutet „vorhanden und zugriffsbeschränkt“, nicht „nicht vorhanden“. Ihre Aussage ist somit entweder unrichtig, oder es wurden Unterlagen vernichtet.</w:t>
      </w:r>
    </w:p>
    <w:p>
      <w:pPr>
        <w:pBdr>
          <w:left w:val="single" w:color="6B7280" w:sz="8" w:space="8"/>
        </w:pBdr>
        <w:spacing w:after="34" w:before="34"/>
        <w:ind w:left="300" w:right="300"/>
      </w:pPr>
      <w:r>
        <w:rPr>
          <w:rFonts w:ascii="Georgia" w:cs="Georgia" w:eastAsia="Georgia" w:hAnsi="Georgia"/>
          <w:b/>
          <w:bCs/>
          <w:sz w:val="19"/>
          <w:szCs w:val="19"/>
        </w:rPr>
        <w:t xml:space="preserve">II. Elf Monate Verschleppung in einer Angelegenheit von Verfassungsrang</w:t>
      </w:r>
    </w:p>
    <w:p>
      <w:pPr>
        <w:pBdr>
          <w:left w:val="single" w:color="6B7280" w:sz="8" w:space="8"/>
        </w:pBdr>
        <w:spacing w:after="34" w:before="34"/>
        <w:ind w:left="300" w:right="300"/>
      </w:pPr>
      <w:r>
        <w:rPr>
          <w:rFonts w:ascii="Georgia" w:cs="Georgia" w:eastAsia="Georgia" w:hAnsi="Georgia"/>
          <w:sz w:val="19"/>
          <w:szCs w:val="19"/>
        </w:rPr>
        <w:t xml:space="preserve">Der Vorgang besteht seit dem 22.09.2025 — mithin seit rund elf Monaten ohne inhaltliche Sachentscheidung. Ich bin deutscher und israelischer Staatsbürger und Enkel eines Überlebenden der Shoah; die Bundesrepublik Deutschland hat meinem Großvater bis zu seinem Lebensende Wiedergutmachungsleistungen erbracht. Am 22.09.2025 habe ich die Datei „3. Holocaust_Familiengeschichte.pdf“, dokumentarische Videoaufnahmen (einschließlich Bezügen zu Yad Vashem) sowie Hinweise auf eine andauernde Menschenrechtsverletzung in der Ukraine übermittelt.</w:t>
      </w:r>
    </w:p>
    <w:p>
      <w:pPr>
        <w:pBdr>
          <w:left w:val="single" w:color="6B7280" w:sz="8" w:space="8"/>
        </w:pBdr>
        <w:spacing w:after="34" w:before="34"/>
        <w:ind w:left="300" w:right="300"/>
      </w:pPr>
      <w:r>
        <w:rPr>
          <w:rFonts w:ascii="Georgia" w:cs="Georgia" w:eastAsia="Georgia" w:hAnsi="Georgia"/>
          <w:sz w:val="19"/>
          <w:szCs w:val="19"/>
        </w:rPr>
        <w:t xml:space="preserve">Dass ein Vorgang, der die Familiengeschichte eines Shoah-Überlebenden und eine akute Menschenrechtsgefährdung verbindet, elf Monate lang formelhaft abgewiesen, in den Status „privileged“ versetzt und mit einem Löschungsvermerk versehen wird, ist keine bloße Bearbeitungsverzögerung. Es ist ein Muster der Verfahrensverschleppung (Verschleppung) und berührt den Kern der Menschenwürde (Art. 1 Abs. 1 GG).</w:t>
      </w:r>
    </w:p>
    <w:p>
      <w:pPr>
        <w:pBdr>
          <w:left w:val="single" w:color="6B7280" w:sz="8" w:space="8"/>
        </w:pBdr>
        <w:spacing w:after="34" w:before="34"/>
        <w:ind w:left="300" w:right="300"/>
      </w:pPr>
      <w:r>
        <w:rPr>
          <w:rFonts w:ascii="Georgia" w:cs="Georgia" w:eastAsia="Georgia" w:hAnsi="Georgia"/>
          <w:b/>
          <w:bCs/>
          <w:sz w:val="19"/>
          <w:szCs w:val="19"/>
        </w:rPr>
        <w:t xml:space="preserve">III. Ergänzende Anmerkung zur institutionellen Schutzpflicht</w:t>
      </w:r>
    </w:p>
    <w:p>
      <w:pPr>
        <w:pBdr>
          <w:left w:val="single" w:color="6B7280" w:sz="8" w:space="8"/>
        </w:pBdr>
        <w:spacing w:after="34" w:before="34"/>
        <w:ind w:left="300" w:right="300"/>
      </w:pPr>
      <w:r>
        <w:rPr>
          <w:rFonts w:ascii="Georgia" w:cs="Georgia" w:eastAsia="Georgia" w:hAnsi="Georgia"/>
          <w:sz w:val="19"/>
          <w:szCs w:val="19"/>
        </w:rPr>
        <w:t xml:space="preserve">Als Doppelstaatsbürger (Bundesrepublik Deutschland und Staat Israel) und Enkel eines Überlebenden der Shoah sehe ich mich nach elf Monaten des institutionellen Schweigens zu einer fundamentalen Frage gezwungen: Wenn die Bundesrepublik Deutschland den Schutz elementarer Menschenrechte und die in den eigenen Akten dokumentierte Familiengeschichte der Shoah — hier durch die Einstufung als „privileged“ mit Löschungsvermerk — systematisch ignoriert, zwingt mich dieses Systemversagen dann dazu, den Staat Israel um diplomatischen und rechtlichen Beistand zu ersuchen, um in einem deutschen Ministerium überhaupt Gehör zu finden? Diese Frage ist keine Rhetorik, sondern Ausdruck eines tiefgreifenden Vertrauensverlusts in die rechtsstaatlichen Mechanismen Ihres Hauses. Sie erklärt zugleich, weshalb die Botschaft des Staates Israel diesem Schreiben nachrichtlich zugeleitet ist.</w:t>
      </w:r>
    </w:p>
    <w:p>
      <w:pPr>
        <w:pBdr>
          <w:left w:val="single" w:color="6B7280" w:sz="8" w:space="8"/>
        </w:pBdr>
        <w:spacing w:after="34" w:before="34"/>
        <w:ind w:left="300" w:right="300"/>
      </w:pPr>
      <w:r>
        <w:rPr>
          <w:rFonts w:ascii="Georgia" w:cs="Georgia" w:eastAsia="Georgia" w:hAnsi="Georgia"/>
          <w:b/>
          <w:bCs/>
          <w:sz w:val="19"/>
          <w:szCs w:val="19"/>
        </w:rPr>
        <w:t xml:space="preserve">IV. Antrag auf sofortige Bestätigung der Datenintegrität (Löschungsmoratorium)</w:t>
      </w:r>
    </w:p>
    <w:p>
      <w:pPr>
        <w:pBdr>
          <w:left w:val="single" w:color="6B7280" w:sz="8" w:space="8"/>
        </w:pBdr>
        <w:spacing w:after="34" w:before="34"/>
        <w:ind w:left="300" w:right="300"/>
      </w:pPr>
      <w:r>
        <w:rPr>
          <w:rFonts w:ascii="Georgia" w:cs="Georgia" w:eastAsia="Georgia" w:hAnsi="Georgia"/>
          <w:sz w:val="19"/>
          <w:szCs w:val="19"/>
        </w:rPr>
        <w:t xml:space="preserve">Ich beantrage, dass Sie bis spätestens 25.06.2026, 12:00 Uhr, schriftlich (per Telefax und E-Mail) bestätigen, dass sämtliche den Vorgang 759bc4c4 betreffenden Daten — insbesondere alle als „privileged“ geführten Anhänge sowie sämtliche Zugriffs-, Bearbeitungs- und Statusänderungsprotokolle (Metadaten) des Systems FACIL — vollständig und unverändert erhalten sind und bis zum rechtskräftigen Abschluss dieser Angelegenheit weder gelöscht noch verändert oder umklassifiziert werden.</w:t>
      </w:r>
    </w:p>
    <w:p>
      <w:pPr>
        <w:pBdr>
          <w:left w:val="single" w:color="6B7280" w:sz="8" w:space="8"/>
        </w:pBdr>
        <w:spacing w:after="34" w:before="34"/>
        <w:ind w:left="300" w:right="300"/>
      </w:pPr>
      <w:r>
        <w:rPr>
          <w:rFonts w:ascii="Georgia" w:cs="Georgia" w:eastAsia="Georgia" w:hAnsi="Georgia"/>
          <w:b/>
          <w:bCs/>
          <w:sz w:val="19"/>
          <w:szCs w:val="19"/>
        </w:rPr>
        <w:t xml:space="preserve">V. Entscheidend: Metadaten, nicht Inhalte</w:t>
      </w:r>
    </w:p>
    <w:p>
      <w:pPr>
        <w:pBdr>
          <w:left w:val="single" w:color="6B7280" w:sz="8" w:space="8"/>
        </w:pBdr>
        <w:spacing w:after="34" w:before="34"/>
        <w:ind w:left="300" w:right="300"/>
      </w:pPr>
      <w:r>
        <w:rPr>
          <w:rFonts w:ascii="Georgia" w:cs="Georgia" w:eastAsia="Georgia" w:hAnsi="Georgia"/>
          <w:sz w:val="19"/>
          <w:szCs w:val="19"/>
        </w:rPr>
        <w:t xml:space="preserve">Ich weise ausdrücklich auf Folgendes hin: Die inhaltlichen Dokumente sind durch von mir gesicherte, kryptographisch zeitgestempelte Sicherungskopien dauerhaft erhalten. Was ich nicht sichern kann, sind Ihre internen Metadaten — wer die Dateien wann geöffnet hat, wer den Status „privileged“ vergeben hat, wer trotz Kenntnis des Schutzkontextes (Shoah, akute Gefährdung) die Bearbeitung unterlassen hat. Eine Löschung dieser Metadaten unter dem Vorwand „routinemäßiger Ticketbereinigung“ würde die Spuren eines möglichen Dienstvergehens bzw. einer Straftat im Inneren des Auswärtigen Amtes beseitigen. Eine solche Löschung nach Zugang dieses Schreibens wäre Beweisvereitelung und strafrechtlich erheblich (§ 274 StGB).</w:t>
      </w:r>
    </w:p>
    <w:p>
      <w:pPr>
        <w:pBdr>
          <w:left w:val="single" w:color="6B7280" w:sz="8" w:space="8"/>
        </w:pBdr>
        <w:spacing w:after="34" w:before="34"/>
        <w:ind w:left="300" w:right="300"/>
      </w:pPr>
      <w:r>
        <w:rPr>
          <w:rFonts w:ascii="Georgia" w:cs="Georgia" w:eastAsia="Georgia" w:hAnsi="Georgia"/>
          <w:b/>
          <w:bCs/>
          <w:sz w:val="19"/>
          <w:szCs w:val="19"/>
        </w:rPr>
        <w:t xml:space="preserve">VI. Ankündigung von Klage und Eilantrag</w:t>
      </w:r>
    </w:p>
    <w:p>
      <w:pPr>
        <w:pBdr>
          <w:left w:val="single" w:color="6B7280" w:sz="8" w:space="8"/>
        </w:pBdr>
        <w:spacing w:after="34" w:before="34"/>
        <w:ind w:left="300" w:right="300"/>
      </w:pPr>
      <w:r>
        <w:rPr>
          <w:rFonts w:ascii="Georgia" w:cs="Georgia" w:eastAsia="Georgia" w:hAnsi="Georgia"/>
          <w:sz w:val="19"/>
          <w:szCs w:val="19"/>
        </w:rPr>
        <w:t xml:space="preserve">Sollte die unter III. erbetene Bestätigung nicht fristgerecht bis zum 25.06.2026, 12:00 Uhr, vorliegen, werde ich noch am 25.06.2026 beim Verwaltungsgericht Berlin Klage erheben und zugleich einen Antrag auf Erlass einer einstweiligen Anordnung (§ 123 VwGO) stellen, gerichtet auf das Verbot jeder Löschung, Veränderung oder Umklassifizierung von Daten und Metadaten zum Vorgang 759bc4c4 (Sicherung des Status quo). Eine Kopie dieses Schreibens ist den im Kopf genannten Stellen zugeleitet.</w:t>
      </w:r>
    </w:p>
    <w:p>
      <w:pPr>
        <w:pBdr>
          <w:left w:val="single" w:color="6B7280" w:sz="8" w:space="8"/>
        </w:pBdr>
        <w:spacing w:after="34" w:before="34"/>
        <w:ind w:left="300" w:right="300"/>
      </w:pPr>
      <w:r>
        <w:rPr>
          <w:rFonts w:ascii="Georgia" w:cs="Georgia" w:eastAsia="Georgia" w:hAnsi="Georgia"/>
          <w:sz w:val="19"/>
          <w:szCs w:val="19"/>
        </w:rPr>
        <w:t xml:space="preserve">Ich bitte um Eingangsbestätigung.</w:t>
      </w:r>
    </w:p>
    <w:p>
      <w:pPr>
        <w:spacing w:after="0" w:before="8"/>
      </w:pPr>
    </w:p>
    <w:p>
      <w:pPr>
        <w:pBdr>
          <w:left w:val="single" w:color="6B7280" w:sz="8" w:space="8"/>
        </w:pBdr>
        <w:spacing w:after="34" w:before="34"/>
        <w:ind w:left="300" w:right="300"/>
      </w:pPr>
      <w:r>
        <w:rPr>
          <w:rFonts w:ascii="Georgia" w:cs="Georgia" w:eastAsia="Georgia" w:hAnsi="Georgia"/>
          <w:sz w:val="19"/>
          <w:szCs w:val="19"/>
        </w:rPr>
        <w:t xml:space="preserve">Mit vorzüglicher Hochachtung,</w:t>
      </w:r>
    </w:p>
    <w:p>
      <w:pPr>
        <w:pBdr>
          <w:left w:val="single" w:color="6B7280" w:sz="8" w:space="8"/>
        </w:pBdr>
        <w:spacing w:after="34" w:before="34"/>
        <w:ind w:left="300" w:right="300"/>
      </w:pPr>
      <w:r>
        <w:rPr>
          <w:rFonts w:ascii="Georgia" w:cs="Georgia" w:eastAsia="Georgia" w:hAnsi="Georgia"/>
          <w:sz w:val="19"/>
          <w:szCs w:val="19"/>
        </w:rPr>
        <w:t xml:space="preserve">Dr. Artiom Kovnatsky</w:t>
      </w:r>
    </w:p>
    <w:p>
      <w:pPr>
        <w:pBdr>
          <w:left w:val="single" w:color="6B7280" w:sz="8" w:space="8"/>
        </w:pBdr>
        <w:spacing w:after="34" w:before="34"/>
        <w:ind w:left="300" w:right="300"/>
      </w:pPr>
      <w:r>
        <w:rPr>
          <w:rFonts w:ascii="Georgia" w:cs="Georgia" w:eastAsia="Georgia" w:hAnsi="Georgia"/>
          <w:i/>
          <w:iCs/>
          <w:sz w:val="19"/>
          <w:szCs w:val="19"/>
        </w:rPr>
        <w:t xml:space="preserve">Anlagen: Bescheid vom 12.05.2026; Widerspruch vom 08.06.2026; Zwischenbescheid vom 15.06.2026; Ticket-Übersicht mit Anhangsliste („privileged“).</w:t>
      </w:r>
    </w:p>
    <w:p>
      <w:pPr>
        <w:pBdr>
          <w:bottom w:val="single" w:color="AAAAAA" w:sz="2" w:space="1"/>
        </w:pBdr>
        <w:spacing w:after="100" w:before="100"/>
      </w:pPr>
    </w:p>
    <w:p>
      <w:pPr>
        <w:spacing w:after="60" w:before="140"/>
      </w:pPr>
      <w:r>
        <w:rPr>
          <w:rFonts w:ascii="Georgia" w:cs="Georgia" w:eastAsia="Georgia" w:hAnsi="Georgia"/>
          <w:b/>
          <w:bCs/>
          <w:i/>
          <w:iCs/>
          <w:color w:val="444444"/>
          <w:sz w:val="22"/>
          <w:szCs w:val="22"/>
        </w:rPr>
        <w:t xml:space="preserve">Пояснение (не отправлять)</w:t>
      </w:r>
    </w:p>
    <w:p>
      <w:pPr>
        <w:spacing w:after="70" w:before="70"/>
        <w:jc w:val="both"/>
      </w:pPr>
      <w:r>
        <w:rPr>
          <w:rFonts w:ascii="Georgia" w:cs="Georgia" w:eastAsia="Georgia" w:hAnsi="Georgia"/>
          <w:sz w:val="22"/>
          <w:szCs w:val="22"/>
        </w:rPr>
        <w:t xml:space="preserve">Копия в посольство Израиля — в шапке (nachrichtlich). Это переводит дело из рутины IFG в потенциальный дипломатический контекст. Срок до 25.06 12:00 — жёсткий, чтобы к 25-му у вас был зафиксированный факт молчания/отказа для Eilantrag.</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ДОКУМЕНТ B — Klage + Eilantrag (25.06.2026)</w:t>
      </w:r>
    </w:p>
    <w:p>
      <w:pPr>
        <w:spacing w:after="70" w:before="70"/>
        <w:jc w:val="both"/>
      </w:pPr>
      <w:r>
        <w:rPr>
          <w:rFonts w:ascii="Georgia" w:cs="Georgia" w:eastAsia="Georgia" w:hAnsi="Georgia"/>
          <w:i/>
          <w:iCs/>
          <w:sz w:val="22"/>
          <w:szCs w:val="22"/>
        </w:rPr>
        <w:t xml:space="preserve">Подаётся в Verwaltungsgericht Berlin. Структура + полный текст. Отправка: факс + Einschreiben (или beA/электронно).</w:t>
      </w:r>
    </w:p>
    <w:p>
      <w:pPr>
        <w:spacing w:after="0" w:before="20"/>
      </w:pPr>
    </w:p>
    <w:p>
      <w:pPr>
        <w:pBdr>
          <w:left w:val="single" w:color="6B7280" w:sz="8" w:space="8"/>
        </w:pBdr>
        <w:spacing w:after="34" w:before="34"/>
        <w:ind w:left="300" w:right="300"/>
      </w:pPr>
      <w:r>
        <w:rPr>
          <w:rFonts w:ascii="Georgia" w:cs="Georgia" w:eastAsia="Georgia" w:hAnsi="Georgia"/>
          <w:sz w:val="19"/>
          <w:szCs w:val="19"/>
        </w:rPr>
        <w:t xml:space="preserve">Dr. Artiom Kovnatsky, Dahlmannstraße 17, 10629 Berlin — Kläger und Antragsteller</w:t>
      </w:r>
    </w:p>
    <w:p>
      <w:pPr>
        <w:spacing w:after="0" w:before="6"/>
      </w:pPr>
    </w:p>
    <w:p>
      <w:pPr>
        <w:pBdr>
          <w:left w:val="single" w:color="6B7280" w:sz="8" w:space="8"/>
        </w:pBdr>
        <w:spacing w:after="34" w:before="34"/>
        <w:ind w:left="300" w:right="300"/>
      </w:pPr>
      <w:r>
        <w:rPr>
          <w:rFonts w:ascii="Georgia" w:cs="Georgia" w:eastAsia="Georgia" w:hAnsi="Georgia"/>
          <w:sz w:val="19"/>
          <w:szCs w:val="19"/>
        </w:rPr>
        <w:t xml:space="preserve">An das Verwaltungsgericht Berlin</w:t>
      </w:r>
    </w:p>
    <w:p>
      <w:pPr>
        <w:pBdr>
          <w:left w:val="single" w:color="6B7280" w:sz="8" w:space="8"/>
        </w:pBdr>
        <w:spacing w:after="34" w:before="34"/>
        <w:ind w:left="300" w:right="300"/>
      </w:pPr>
      <w:r>
        <w:rPr>
          <w:rFonts w:ascii="Georgia" w:cs="Georgia" w:eastAsia="Georgia" w:hAnsi="Georgia"/>
          <w:sz w:val="19"/>
          <w:szCs w:val="19"/>
        </w:rPr>
        <w:t xml:space="preserve">Kirchstraße 7, 10557 Berlin</w:t>
      </w:r>
    </w:p>
    <w:p>
      <w:pPr>
        <w:pBdr>
          <w:left w:val="single" w:color="6B7280" w:sz="8" w:space="8"/>
        </w:pBdr>
        <w:spacing w:after="34" w:before="34"/>
        <w:ind w:left="300" w:right="300"/>
      </w:pPr>
      <w:r>
        <w:rPr>
          <w:rFonts w:ascii="Georgia" w:cs="Georgia" w:eastAsia="Georgia" w:hAnsi="Georgia"/>
          <w:i/>
          <w:iCs/>
          <w:sz w:val="19"/>
          <w:szCs w:val="19"/>
        </w:rPr>
        <w:t xml:space="preserve">Berlin, den 25.06.2026 — vorab per Telefax</w:t>
      </w:r>
    </w:p>
    <w:p>
      <w:pPr>
        <w:spacing w:after="0" w:before="8"/>
      </w:pPr>
    </w:p>
    <w:p>
      <w:pPr>
        <w:pBdr>
          <w:left w:val="single" w:color="6B7280" w:sz="8" w:space="8"/>
        </w:pBdr>
        <w:spacing w:after="34" w:before="34"/>
        <w:ind w:left="300" w:right="300"/>
      </w:pPr>
      <w:r>
        <w:rPr>
          <w:rFonts w:ascii="Georgia" w:cs="Georgia" w:eastAsia="Georgia" w:hAnsi="Georgia"/>
          <w:b/>
          <w:bCs/>
          <w:sz w:val="19"/>
          <w:szCs w:val="19"/>
        </w:rPr>
        <w:t xml:space="preserve">Klage und Antrag auf Erlass einer einstweiligen Anordnung (§ 123 VwGO)</w:t>
      </w:r>
    </w:p>
    <w:p>
      <w:pPr>
        <w:pBdr>
          <w:left w:val="single" w:color="6B7280" w:sz="8" w:space="8"/>
        </w:pBdr>
        <w:spacing w:after="34" w:before="34"/>
        <w:ind w:left="300" w:right="300"/>
      </w:pPr>
      <w:r>
        <w:rPr>
          <w:rFonts w:ascii="Georgia" w:cs="Georgia" w:eastAsia="Georgia" w:hAnsi="Georgia"/>
          <w:sz w:val="19"/>
          <w:szCs w:val="19"/>
        </w:rPr>
        <w:t xml:space="preserve">des Herrn Dr. Artiom Kovnatsky, Dahlmannstraße 17, 10629 Berlin — Kläger und Antragsteller —</w:t>
      </w:r>
    </w:p>
    <w:p>
      <w:pPr>
        <w:pBdr>
          <w:left w:val="single" w:color="6B7280" w:sz="8" w:space="8"/>
        </w:pBdr>
        <w:spacing w:after="34" w:before="34"/>
        <w:ind w:left="300" w:right="300"/>
      </w:pPr>
      <w:r>
        <w:rPr>
          <w:rFonts w:ascii="Georgia" w:cs="Georgia" w:eastAsia="Georgia" w:hAnsi="Georgia"/>
          <w:sz w:val="19"/>
          <w:szCs w:val="19"/>
        </w:rPr>
        <w:t xml:space="preserve">gegen</w:t>
      </w:r>
    </w:p>
    <w:p>
      <w:pPr>
        <w:pBdr>
          <w:left w:val="single" w:color="6B7280" w:sz="8" w:space="8"/>
        </w:pBdr>
        <w:spacing w:after="34" w:before="34"/>
        <w:ind w:left="300" w:right="300"/>
      </w:pPr>
      <w:r>
        <w:rPr>
          <w:rFonts w:ascii="Georgia" w:cs="Georgia" w:eastAsia="Georgia" w:hAnsi="Georgia"/>
          <w:sz w:val="19"/>
          <w:szCs w:val="19"/>
        </w:rPr>
        <w:t xml:space="preserve">die Bundesrepublik Deutschland, vertreten durch das Auswärtige Amt, Werderscher Markt 1, 10117 Berlin — Beklagte und Antragsgegnerin —</w:t>
      </w:r>
    </w:p>
    <w:p>
      <w:pPr>
        <w:pBdr>
          <w:left w:val="single" w:color="6B7280" w:sz="8" w:space="8"/>
        </w:pBdr>
        <w:spacing w:after="34" w:before="34"/>
        <w:ind w:left="300" w:right="300"/>
      </w:pPr>
      <w:r>
        <w:rPr>
          <w:rFonts w:ascii="Georgia" w:cs="Georgia" w:eastAsia="Georgia" w:hAnsi="Georgia"/>
          <w:sz w:val="19"/>
          <w:szCs w:val="19"/>
        </w:rPr>
        <w:t xml:space="preserve">wegen: Informationszugang nach dem IFG (Vorgang 759bc4c4 / GZ R20-511.03 IFG 123-2026); Untätigkeit; Sicherung von Beweismitteln (Metadaten).</w:t>
      </w:r>
    </w:p>
    <w:p>
      <w:pPr>
        <w:pBdr>
          <w:left w:val="single" w:color="6B7280" w:sz="8" w:space="8"/>
        </w:pBdr>
        <w:spacing w:after="34" w:before="34"/>
        <w:ind w:left="300" w:right="300"/>
      </w:pPr>
      <w:r>
        <w:rPr>
          <w:rFonts w:ascii="Georgia" w:cs="Georgia" w:eastAsia="Georgia" w:hAnsi="Georgia"/>
          <w:b/>
          <w:bCs/>
          <w:sz w:val="19"/>
          <w:szCs w:val="19"/>
        </w:rPr>
        <w:t xml:space="preserve">A. Anträge</w:t>
      </w:r>
    </w:p>
    <w:p>
      <w:pPr>
        <w:pBdr>
          <w:left w:val="single" w:color="6B7280" w:sz="8" w:space="8"/>
        </w:pBdr>
        <w:spacing w:after="34" w:before="34"/>
        <w:ind w:left="300" w:right="300"/>
      </w:pPr>
      <w:r>
        <w:rPr>
          <w:rFonts w:ascii="Georgia" w:cs="Georgia" w:eastAsia="Georgia" w:hAnsi="Georgia"/>
          <w:sz w:val="19"/>
          <w:szCs w:val="19"/>
        </w:rPr>
        <w:t xml:space="preserve">Im Wege der einstweiligen Anordnung (§ 123 VwGO) beantrage ich:</w:t>
      </w:r>
    </w:p>
    <w:p>
      <w:pPr>
        <w:pBdr>
          <w:left w:val="single" w:color="6B7280" w:sz="8" w:space="8"/>
        </w:pBdr>
        <w:spacing w:after="34" w:before="34"/>
        <w:ind w:left="300" w:right="300"/>
      </w:pPr>
      <w:r>
        <w:rPr>
          <w:rFonts w:ascii="Georgia" w:cs="Georgia" w:eastAsia="Georgia" w:hAnsi="Georgia"/>
          <w:sz w:val="19"/>
          <w:szCs w:val="19"/>
        </w:rPr>
        <w:t xml:space="preserve">1. Der Antragsgegnerin wird aufgegeben, es bis zum rechtskräftigen Abschluss des Hauptsacheverfahrens zu unterlassen, sämtliche den Vorgang 759bc4c4 betreffenden Daten und Metadaten — insbesondere die als „privileged“ geführten Anhänge sowie alle Zugriffs-, Bearbeitungs- und Statusänderungsprotokolle des Systems FACIL — zu löschen, zu verändern, zu überschreiben oder umzuklassifizieren (Sicherung des Status quo).</w:t>
      </w:r>
    </w:p>
    <w:p>
      <w:pPr>
        <w:pBdr>
          <w:left w:val="single" w:color="6B7280" w:sz="8" w:space="8"/>
        </w:pBdr>
        <w:spacing w:after="34" w:before="34"/>
        <w:ind w:left="300" w:right="300"/>
      </w:pPr>
      <w:r>
        <w:rPr>
          <w:rFonts w:ascii="Georgia" w:cs="Georgia" w:eastAsia="Georgia" w:hAnsi="Georgia"/>
          <w:sz w:val="19"/>
          <w:szCs w:val="19"/>
        </w:rPr>
        <w:t xml:space="preserve">2. Der Antragsgegnerin wird aufgegeben, die vollständige und unveränderte Sicherung dieser Daten und Metadaten gegenüber dem Gericht binnen einer vom Gericht zu bestimmenden kurzen Frist schriftlich zu bestätigen.</w:t>
      </w:r>
    </w:p>
    <w:p>
      <w:pPr>
        <w:pBdr>
          <w:left w:val="single" w:color="6B7280" w:sz="8" w:space="8"/>
        </w:pBdr>
        <w:spacing w:after="34" w:before="34"/>
        <w:ind w:left="300" w:right="300"/>
      </w:pPr>
      <w:r>
        <w:rPr>
          <w:rFonts w:ascii="Georgia" w:cs="Georgia" w:eastAsia="Georgia" w:hAnsi="Georgia"/>
          <w:sz w:val="19"/>
          <w:szCs w:val="19"/>
        </w:rPr>
        <w:t xml:space="preserve">In der Hauptsache beantrage ich:</w:t>
      </w:r>
    </w:p>
    <w:p>
      <w:pPr>
        <w:pBdr>
          <w:left w:val="single" w:color="6B7280" w:sz="8" w:space="8"/>
        </w:pBdr>
        <w:spacing w:after="34" w:before="34"/>
        <w:ind w:left="300" w:right="300"/>
      </w:pPr>
      <w:r>
        <w:rPr>
          <w:rFonts w:ascii="Georgia" w:cs="Georgia" w:eastAsia="Georgia" w:hAnsi="Georgia"/>
          <w:sz w:val="19"/>
          <w:szCs w:val="19"/>
        </w:rPr>
        <w:t xml:space="preserve">3. Die Beklagte wird verurteilt, über die Punkte 1.1, 1.2, 1.4 und 1.5 meines Antrags vom 19.04.2026 sowie über meinen Widerspruch vom 08.06.2026 zu entscheiden und mir Zugang zu den als nicht geheim eingestuften Unterlagen und Metadaten zum Vorgang 759bc4c4 zu gewähren (§ 1 Abs. 1 IFG).</w:t>
      </w:r>
    </w:p>
    <w:p>
      <w:pPr>
        <w:pBdr>
          <w:left w:val="single" w:color="6B7280" w:sz="8" w:space="8"/>
        </w:pBdr>
        <w:spacing w:after="34" w:before="34"/>
        <w:ind w:left="300" w:right="300"/>
      </w:pPr>
      <w:r>
        <w:rPr>
          <w:rFonts w:ascii="Georgia" w:cs="Georgia" w:eastAsia="Georgia" w:hAnsi="Georgia"/>
          <w:sz w:val="19"/>
          <w:szCs w:val="19"/>
        </w:rPr>
        <w:t xml:space="preserve">4. Hilfsweise wird festgestellt, dass die Untätigkeit der Beklagten rechtswidrig ist.</w:t>
      </w:r>
    </w:p>
    <w:p>
      <w:pPr>
        <w:pBdr>
          <w:left w:val="single" w:color="6B7280" w:sz="8" w:space="8"/>
        </w:pBdr>
        <w:spacing w:after="34" w:before="34"/>
        <w:ind w:left="300" w:right="300"/>
      </w:pPr>
      <w:r>
        <w:rPr>
          <w:rFonts w:ascii="Georgia" w:cs="Georgia" w:eastAsia="Georgia" w:hAnsi="Georgia"/>
          <w:b/>
          <w:bCs/>
          <w:sz w:val="19"/>
          <w:szCs w:val="19"/>
        </w:rPr>
        <w:t xml:space="preserve">B. Zulässigkeit — Überwindung der Sperrfrist (§ 75 VwGO)</w:t>
      </w:r>
    </w:p>
    <w:p>
      <w:pPr>
        <w:pBdr>
          <w:left w:val="single" w:color="6B7280" w:sz="8" w:space="8"/>
        </w:pBdr>
        <w:spacing w:after="34" w:before="34"/>
        <w:ind w:left="300" w:right="300"/>
      </w:pPr>
      <w:r>
        <w:rPr>
          <w:rFonts w:ascii="Georgia" w:cs="Georgia" w:eastAsia="Georgia" w:hAnsi="Georgia"/>
          <w:sz w:val="19"/>
          <w:szCs w:val="19"/>
        </w:rPr>
        <w:t xml:space="preserve">Die Klage ist ausnahmsweise vor Ablauf der Drei-Monats-Frist zulässig, da zwingende Gründe im Sinne des § 75 Satz 2 VwGO vorliegen:</w:t>
      </w:r>
    </w:p>
    <w:p>
      <w:pPr>
        <w:pBdr>
          <w:left w:val="single" w:color="6B7280" w:sz="8" w:space="8"/>
        </w:pBdr>
        <w:spacing w:after="34" w:before="34"/>
        <w:ind w:left="300" w:right="300"/>
      </w:pPr>
      <w:r>
        <w:rPr>
          <w:rFonts w:ascii="Georgia" w:cs="Georgia" w:eastAsia="Georgia" w:hAnsi="Georgia"/>
          <w:sz w:val="19"/>
          <w:szCs w:val="19"/>
        </w:rPr>
        <w:t xml:space="preserve">(1) Beweismittelgefährdung (Metadaten): Die für den Nachweis eines möglichen Dienstvergehens bzw. einer Straftat entscheidenden Metadaten (Zugriffs- und Statusprotokolle in FACIL) befinden sich ausschließlich in der Sphäre der Beklagten. Der Antragsteller hat diese Metadaten — anders als die inhaltlichen Dokumente — nicht sichern können. Die Beklagte hat in ihrer eigenen internen Weiterleitung eine Anweisung dokumentiert, Anlagen zu löschen, und teilt mit, Vorgänge würden „ungelesen geschlossen“. Es besteht daher die konkrete Gefahr, dass diese Metadaten im Wege „routinemäßiger“ Löschung unwiederbringlich vernichtet werden. Ohne sofortige Sicherung droht der endgültige Verlust des Beweismittels (Beweisvereitelung; vgl. § 274 StGB).</w:t>
      </w:r>
    </w:p>
    <w:p>
      <w:pPr>
        <w:pBdr>
          <w:left w:val="single" w:color="6B7280" w:sz="8" w:space="8"/>
        </w:pBdr>
        <w:spacing w:after="34" w:before="34"/>
        <w:ind w:left="300" w:right="300"/>
      </w:pPr>
      <w:r>
        <w:rPr>
          <w:rFonts w:ascii="Georgia" w:cs="Georgia" w:eastAsia="Georgia" w:hAnsi="Georgia"/>
          <w:sz w:val="19"/>
          <w:szCs w:val="19"/>
        </w:rPr>
        <w:t xml:space="preserve">(2) Andauernde Grundrechtsverletzung: Der Vorgang ist seit dem 22.09.2025 (rund elf Monate) ohne Sachentscheidung. Es geht um eine fortdauernde Menschenrechtsgefährdung sowie um den Kern der Menschenwürde (Art. 1 Abs. 1 GG) im besonderen Kontext eines Nachkommen eines Shoah-Überlebenden, dem die Bundesrepublik Wiedergutmachung geleistet hat. Ein weiteres Zuwarten über drei Monate ist unzumutbar.</w:t>
      </w:r>
    </w:p>
    <w:p>
      <w:pPr>
        <w:pBdr>
          <w:left w:val="single" w:color="6B7280" w:sz="8" w:space="8"/>
        </w:pBdr>
        <w:spacing w:after="34" w:before="34"/>
        <w:ind w:left="300" w:right="300"/>
      </w:pPr>
      <w:r>
        <w:rPr>
          <w:rFonts w:ascii="Georgia" w:cs="Georgia" w:eastAsia="Georgia" w:hAnsi="Georgia"/>
          <w:sz w:val="19"/>
          <w:szCs w:val="19"/>
        </w:rPr>
        <w:t xml:space="preserve">(3) Effektiver Rechtsschutz (Art. 19 Abs. 4 GG): Würde der Antragsteller auf den Ablauf der Sperrfrist verwiesen, während die entscheidenden Metadaten zwischenzeitlich gelöscht werden, liefe sein Recht auf effektiven Rechtsschutz leer.</w:t>
      </w:r>
    </w:p>
    <w:p>
      <w:pPr>
        <w:pBdr>
          <w:left w:val="single" w:color="6B7280" w:sz="8" w:space="8"/>
        </w:pBdr>
        <w:spacing w:after="34" w:before="34"/>
        <w:ind w:left="300" w:right="300"/>
      </w:pPr>
      <w:r>
        <w:rPr>
          <w:rFonts w:ascii="Georgia" w:cs="Georgia" w:eastAsia="Georgia" w:hAnsi="Georgia"/>
          <w:sz w:val="19"/>
          <w:szCs w:val="19"/>
        </w:rPr>
        <w:t xml:space="preserve">(4) Schwere des Eingriffs / Systemversagen: Der Kläger ist deutscher und israelischer Staatsbürger und Enkel eines Shoah-Überlebenden. Das elfmonatige Ausbleiben jeder Sachentscheidung in einem Vorgang, der die dokumentierte Familiengeschichte der Shoah mit einer akuten Menschenrechtsgefährdung verbindet, wiegt so schwer, dass sich für den Kläger ernsthaft die Frage stellt, ob er den diplomatischen Beistand des Staates Israel in Anspruch nehmen muss, um in der Bundesrepublik Deutschland elementare Grundrechte (Art. 1 Abs. 1 GG) durchzusetzen. Dieser Umstand wird nicht als rechtlicher Anspruch gegen das Gericht geltend gemacht, sondern verdeutlicht die Schwere und Dringlichkeit, die ein weiteres Zuwarten unzumutbar macht.</w:t>
      </w:r>
    </w:p>
    <w:p>
      <w:pPr>
        <w:pBdr>
          <w:left w:val="single" w:color="6B7280" w:sz="8" w:space="8"/>
        </w:pBdr>
        <w:spacing w:after="34" w:before="34"/>
        <w:ind w:left="300" w:right="300"/>
      </w:pPr>
      <w:r>
        <w:rPr>
          <w:rFonts w:ascii="Georgia" w:cs="Georgia" w:eastAsia="Georgia" w:hAnsi="Georgia"/>
          <w:b/>
          <w:bCs/>
          <w:sz w:val="19"/>
          <w:szCs w:val="19"/>
        </w:rPr>
        <w:t xml:space="preserve">C. Anordnungsanspruch und Anordnungsgrund (zum Eilantrag)</w:t>
      </w:r>
    </w:p>
    <w:p>
      <w:pPr>
        <w:pBdr>
          <w:left w:val="single" w:color="6B7280" w:sz="8" w:space="8"/>
        </w:pBdr>
        <w:spacing w:after="34" w:before="34"/>
        <w:ind w:left="300" w:right="300"/>
      </w:pPr>
      <w:r>
        <w:rPr>
          <w:rFonts w:ascii="Georgia" w:cs="Georgia" w:eastAsia="Georgia" w:hAnsi="Georgia"/>
          <w:sz w:val="19"/>
          <w:szCs w:val="19"/>
        </w:rPr>
        <w:t xml:space="preserve">Anordnungsanspruch: Der Anspruch auf Sicherung folgt aus dem Informationszugangsanspruch (§ 1 IFG) i.V.m. dem Gebot effektiven Rechtsschutzes (Art. 19 Abs. 4 GG) und der Pflicht der Behörde zur ordnungsgemäßen Aktenführung (Aufbewahrungspflichten, Bundesarchivgesetz). Wer Zugang zu Unterlagen verlangt, muss verhindern können, dass diese vor der gerichtlichen Klärung vernichtet werden.</w:t>
      </w:r>
    </w:p>
    <w:p>
      <w:pPr>
        <w:pBdr>
          <w:left w:val="single" w:color="6B7280" w:sz="8" w:space="8"/>
        </w:pBdr>
        <w:spacing w:after="34" w:before="34"/>
        <w:ind w:left="300" w:right="300"/>
      </w:pPr>
      <w:r>
        <w:rPr>
          <w:rFonts w:ascii="Georgia" w:cs="Georgia" w:eastAsia="Georgia" w:hAnsi="Georgia"/>
          <w:sz w:val="19"/>
          <w:szCs w:val="19"/>
        </w:rPr>
        <w:t xml:space="preserve">Anordnungsgrund: Es wird ausdrücklich nur die Sicherung (Einfrieren) des Status quo begehrt, nicht die Vorwegnahme der Hauptsache. Die Eilbedürftigkeit ergibt sich aus der dokumentierten Löschungsanweisung der Beklagten und der Praxis, Vorgänge „ungelesen“ zu schließen. Eine Sicherungsanordnung greift nicht in die inhaltliche Entscheidung ein, sondern bewahrt allein die Entscheidungsgrundlage. Der Antragsteller hat mit Schreiben vom 24.06.2026 erfolglos um eine Bestätigung der Datenintegrität gebeten.</w:t>
      </w:r>
    </w:p>
    <w:p>
      <w:pPr>
        <w:pBdr>
          <w:left w:val="single" w:color="6B7280" w:sz="8" w:space="8"/>
        </w:pBdr>
        <w:spacing w:after="34" w:before="34"/>
        <w:ind w:left="300" w:right="300"/>
      </w:pPr>
      <w:r>
        <w:rPr>
          <w:rFonts w:ascii="Georgia" w:cs="Georgia" w:eastAsia="Georgia" w:hAnsi="Georgia"/>
          <w:b/>
          <w:bCs/>
          <w:sz w:val="19"/>
          <w:szCs w:val="19"/>
        </w:rPr>
        <w:t xml:space="preserve">D. Begründung der Hauptsache</w:t>
      </w:r>
    </w:p>
    <w:p>
      <w:pPr>
        <w:pBdr>
          <w:left w:val="single" w:color="6B7280" w:sz="8" w:space="8"/>
        </w:pBdr>
        <w:spacing w:after="34" w:before="34"/>
        <w:ind w:left="300" w:right="300"/>
      </w:pPr>
      <w:r>
        <w:rPr>
          <w:rFonts w:ascii="Georgia" w:cs="Georgia" w:eastAsia="Georgia" w:hAnsi="Georgia"/>
          <w:sz w:val="19"/>
          <w:szCs w:val="19"/>
        </w:rPr>
        <w:t xml:space="preserve">Der Bescheid vom 12.05.2026 („keine amtlichen Informationen“) widerspricht der eigenen Aktenlage der Beklagten: über 30 als „privileged“ geführte Anhänge, ein namentlicher Bearbeiter (dirk.hennig@diplo.de) und eine interne FACIL-Weiterleitung belegen das Vorhandensein amtlicher Informationen. Über die Antragspunkte 1.1, 1.2, 1.4 und 1.5 (vom 19.04.2026) wurde bis heute nicht entschieden (§ 39 VwVfG). Die Beklagte hat zudem entgegen ihrer eigenen Empfehlung (Verweis auf die HRMMU am 20.11.2025) keine Weiterleitung vorgenommen (§ 25 VwVfG) und trotz Kenntnis des Schutzkontextes keine Schutzpflichtenprüfung dokumentiert (Art. 1 GG, Art. 3 EMRK).</w:t>
      </w:r>
    </w:p>
    <w:p>
      <w:pPr>
        <w:pBdr>
          <w:left w:val="single" w:color="6B7280" w:sz="8" w:space="8"/>
        </w:pBdr>
        <w:spacing w:after="34" w:before="34"/>
        <w:ind w:left="300" w:right="300"/>
      </w:pPr>
      <w:r>
        <w:rPr>
          <w:rFonts w:ascii="Georgia" w:cs="Georgia" w:eastAsia="Georgia" w:hAnsi="Georgia"/>
          <w:b/>
          <w:bCs/>
          <w:sz w:val="19"/>
          <w:szCs w:val="19"/>
        </w:rPr>
        <w:t xml:space="preserve">E. Hinweis: Verfahren als öffentlicher wissenschaftlich-künstlerischer Audit (Art. 5 Abs. 3 GG)</w:t>
      </w:r>
    </w:p>
    <w:p>
      <w:pPr>
        <w:pBdr>
          <w:left w:val="single" w:color="6B7280" w:sz="8" w:space="8"/>
        </w:pBdr>
        <w:spacing w:after="34" w:before="34"/>
        <w:ind w:left="300" w:right="300"/>
      </w:pPr>
      <w:r>
        <w:rPr>
          <w:rFonts w:ascii="Georgia" w:cs="Georgia" w:eastAsia="Georgia" w:hAnsi="Georgia"/>
          <w:sz w:val="19"/>
          <w:szCs w:val="19"/>
        </w:rPr>
        <w:t xml:space="preserve">Der Antragsteller weist darauf hin, dass dieses Verfahren Teil eines öffentlich dokumentierten, reproduzierbaren wissenschaftlich-künstlerischen Audits demokratischer Institutionen ist (Art. 5 Abs. 3 GG — Wissenschafts- und Kunstfreiheit). Methodik und Daten sind öffentlich nachvollziehbar archiviert. Dieser Hinweis dient der Transparenz und berührt nicht die Sachprüfung.</w:t>
      </w:r>
    </w:p>
    <w:p>
      <w:pPr>
        <w:pBdr>
          <w:left w:val="single" w:color="6B7280" w:sz="8" w:space="8"/>
        </w:pBdr>
        <w:spacing w:after="34" w:before="34"/>
        <w:ind w:left="300" w:right="300"/>
      </w:pPr>
      <w:r>
        <w:rPr>
          <w:rFonts w:ascii="Georgia" w:cs="Georgia" w:eastAsia="Georgia" w:hAnsi="Georgia"/>
          <w:b/>
          <w:bCs/>
          <w:sz w:val="19"/>
          <w:szCs w:val="19"/>
        </w:rPr>
        <w:t xml:space="preserve">F. Beweismittel / Anlagen</w:t>
      </w:r>
    </w:p>
    <w:p>
      <w:pPr>
        <w:pBdr>
          <w:left w:val="single" w:color="6B7280" w:sz="8" w:space="8"/>
        </w:pBdr>
        <w:spacing w:after="34" w:before="34"/>
        <w:ind w:left="300" w:right="300"/>
      </w:pPr>
      <w:r>
        <w:rPr>
          <w:rFonts w:ascii="Georgia" w:cs="Georgia" w:eastAsia="Georgia" w:hAnsi="Georgia"/>
          <w:sz w:val="19"/>
          <w:szCs w:val="19"/>
        </w:rPr>
        <w:t xml:space="preserve">K1 Bescheid vom 12.05.2026; K2 Antrag vom 19.04.2026; K3 Widerspruch vom 08.06.2026; K4 Zwischenbescheid vom 15.06.2026; K5 Ticket-Übersicht mit Anhangsliste („privileged“); K6 interne FACIL-Weiterleitung vom 22.10.2025; K7 Abmahnung vom 24.06.2026; K8 reproduzierbare Analyse (README).</w:t>
      </w:r>
    </w:p>
    <w:p>
      <w:pPr>
        <w:spacing w:after="0" w:before="8"/>
      </w:pPr>
    </w:p>
    <w:p>
      <w:pPr>
        <w:pBdr>
          <w:left w:val="single" w:color="6B7280" w:sz="8" w:space="8"/>
        </w:pBdr>
        <w:spacing w:after="34" w:before="34"/>
        <w:ind w:left="300" w:right="300"/>
      </w:pPr>
      <w:r>
        <w:rPr>
          <w:rFonts w:ascii="Georgia" w:cs="Georgia" w:eastAsia="Georgia" w:hAnsi="Georgia"/>
          <w:sz w:val="19"/>
          <w:szCs w:val="19"/>
        </w:rPr>
        <w:t xml:space="preserve">Dr. Artiom Kovnatsky</w:t>
      </w:r>
    </w:p>
    <w:p>
      <w:pPr>
        <w:pBdr>
          <w:bottom w:val="single" w:color="AAAAAA" w:sz="2" w:space="1"/>
        </w:pBdr>
        <w:spacing w:after="100" w:before="100"/>
      </w:pPr>
    </w:p>
    <w:p>
      <w:pPr>
        <w:spacing w:after="60" w:before="140"/>
      </w:pPr>
      <w:r>
        <w:rPr>
          <w:rFonts w:ascii="Georgia" w:cs="Georgia" w:eastAsia="Georgia" w:hAnsi="Georgia"/>
          <w:b/>
          <w:bCs/>
          <w:i/>
          <w:iCs/>
          <w:color w:val="444444"/>
          <w:sz w:val="22"/>
          <w:szCs w:val="22"/>
        </w:rPr>
        <w:t xml:space="preserve">Пояснение (не отправлять)</w:t>
      </w:r>
    </w:p>
    <w:p>
      <w:pPr>
        <w:spacing w:after="70" w:before="70"/>
        <w:jc w:val="both"/>
      </w:pPr>
      <w:r>
        <w:rPr>
          <w:rFonts w:ascii="Georgia" w:cs="Georgia" w:eastAsia="Georgia" w:hAnsi="Georgia"/>
          <w:sz w:val="22"/>
          <w:szCs w:val="22"/>
        </w:rPr>
        <w:t xml:space="preserve">Структура: иск (п.3–4) + Eilantrag (п.1–2) в одном документе. Ключ: Eilantrag просит ТОЛЬКО заморозку (Sicherung), не выдачу — это максимизирует шанс и делает любой отказ позорным. Раздел B отдельно обосновывает обход 3 месяцев (zwingende GrüEnde). Раздел E — ASPE/Art. 5 GG.</w:t>
      </w:r>
    </w:p>
    <w:p>
      <w:pPr>
        <w:spacing w:after="70" w:before="70"/>
        <w:jc w:val="both"/>
      </w:pPr>
      <w:r>
        <w:rPr>
          <w:rFonts w:ascii="Georgia" w:cs="Georgia" w:eastAsia="Georgia" w:hAnsi="Georgia"/>
          <w:b/>
          <w:bCs/>
          <w:sz w:val="22"/>
          <w:szCs w:val="22"/>
        </w:rPr>
        <w:t xml:space="preserve">Важно перед подачей: </w:t>
      </w:r>
      <w:r>
        <w:rPr>
          <w:rFonts w:ascii="Georgia" w:cs="Georgia" w:eastAsia="Georgia" w:hAnsi="Georgia"/>
          <w:sz w:val="22"/>
          <w:szCs w:val="22"/>
        </w:rPr>
        <w:t xml:space="preserve">(1) Подписать каждую страницу. (2) Приложить копии K1–K8. (3) VG Berlin первой инстанции — адвокат НЕ обязателен (§ 67 VwGO). (4) Судебная пошлина по Streitwert — будьте готовы. (5) Факс VG Berlin уточните на их сайте перед отправкой.</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Что релевантно, но не додумали</w:t>
      </w:r>
    </w:p>
    <w:p>
      <w:pPr>
        <w:spacing w:after="60" w:before="140"/>
      </w:pPr>
      <w:r>
        <w:rPr>
          <w:rFonts w:ascii="Georgia" w:cs="Georgia" w:eastAsia="Georgia" w:hAnsi="Georgia"/>
          <w:b/>
          <w:bCs/>
          <w:i/>
          <w:iCs/>
          <w:color w:val="444444"/>
          <w:sz w:val="22"/>
          <w:szCs w:val="22"/>
        </w:rPr>
        <w:t xml:space="preserve">1. Данные vs метаданные — разделено в иске</w:t>
      </w:r>
    </w:p>
    <w:p>
      <w:pPr>
        <w:spacing w:after="70" w:before="70"/>
        <w:jc w:val="both"/>
      </w:pPr>
      <w:r>
        <w:rPr>
          <w:rFonts w:ascii="Georgia" w:cs="Georgia" w:eastAsia="Georgia" w:hAnsi="Georgia"/>
          <w:sz w:val="22"/>
          <w:szCs w:val="22"/>
        </w:rPr>
        <w:t xml:space="preserve">Это ядро. Вы сохранили СВОИ файлы, но НЕ можете сохранить метаданные МИД (кто открывал, кто ставил «privileged», кто игнорировал). Именно поэтому у Eilantrag есть Beweisnot — но ТОЛЬКО по метаданным, не по файлам. В иске это чётко разведено (раздел B(1)).</w:t>
      </w:r>
    </w:p>
    <w:p>
      <w:pPr>
        <w:spacing w:after="60" w:before="140"/>
      </w:pPr>
      <w:r>
        <w:rPr>
          <w:rFonts w:ascii="Georgia" w:cs="Georgia" w:eastAsia="Georgia" w:hAnsi="Georgia"/>
          <w:b/>
          <w:bCs/>
          <w:i/>
          <w:iCs/>
          <w:color w:val="444444"/>
          <w:sz w:val="22"/>
          <w:szCs w:val="22"/>
        </w:rPr>
        <w:t xml:space="preserve">2. Посольство Израиля — только nachrichtlich</w:t>
      </w:r>
    </w:p>
    <w:p>
      <w:pPr>
        <w:spacing w:after="70" w:before="70"/>
        <w:jc w:val="both"/>
      </w:pPr>
      <w:r>
        <w:rPr>
          <w:rFonts w:ascii="Georgia" w:cs="Georgia" w:eastAsia="Georgia" w:hAnsi="Georgia"/>
          <w:sz w:val="22"/>
          <w:szCs w:val="22"/>
        </w:rPr>
        <w:t xml:space="preserve">Добавлено в шапку письма 24.06. НЕ пишите отдельное обращение «примите меры» — это размоет фокус. Простое присутствие в получателях даёт эффект. В судебный иск посольство НЕ ставьте — суду это не место.</w:t>
      </w:r>
    </w:p>
    <w:p>
      <w:pPr>
        <w:spacing w:after="60" w:before="140"/>
      </w:pPr>
      <w:r>
        <w:rPr>
          <w:rFonts w:ascii="Georgia" w:cs="Georgia" w:eastAsia="Georgia" w:hAnsi="Georgia"/>
          <w:b/>
          <w:bCs/>
          <w:i/>
          <w:iCs/>
          <w:color w:val="444444"/>
          <w:sz w:val="22"/>
          <w:szCs w:val="22"/>
        </w:rPr>
        <w:t xml:space="preserve">3. ASPE/Art. 5 GG — коротко и достойно</w:t>
      </w:r>
    </w:p>
    <w:p>
      <w:pPr>
        <w:spacing w:after="70" w:before="70"/>
        <w:jc w:val="both"/>
      </w:pPr>
      <w:r>
        <w:rPr>
          <w:rFonts w:ascii="Georgia" w:cs="Georgia" w:eastAsia="Georgia" w:hAnsi="Georgia"/>
          <w:sz w:val="22"/>
          <w:szCs w:val="22"/>
        </w:rPr>
        <w:t xml:space="preserve">В иске это один абзац (раздел E). Не расписывайте перформанс подробно — судья может воспринять как несерьёзность. Одного упоминания Art. 5 GG достаточно, чтобы легально опубликовать любой исход.</w:t>
      </w:r>
    </w:p>
    <w:p>
      <w:pPr>
        <w:spacing w:after="60" w:before="140"/>
      </w:pPr>
      <w:r>
        <w:rPr>
          <w:rFonts w:ascii="Georgia" w:cs="Georgia" w:eastAsia="Georgia" w:hAnsi="Georgia"/>
          <w:b/>
          <w:bCs/>
          <w:i/>
          <w:iCs/>
          <w:color w:val="444444"/>
          <w:sz w:val="22"/>
          <w:szCs w:val="22"/>
        </w:rPr>
        <w:t xml:space="preserve">4. Два фланга одновременно</w:t>
      </w:r>
    </w:p>
    <w:p>
      <w:pPr>
        <w:spacing w:after="70" w:before="70"/>
        <w:jc w:val="both"/>
      </w:pPr>
      <w:r>
        <w:rPr>
          <w:rFonts w:ascii="Georgia" w:cs="Georgia" w:eastAsia="Georgia" w:hAnsi="Georgia"/>
          <w:sz w:val="22"/>
          <w:szCs w:val="22"/>
        </w:rPr>
        <w:t xml:space="preserve">Суд — не единственный фронт. BfDI и DSGVO уже идут (08.06). Даже если суд отклонит Eilantrag по сроку — BfDI может начать In-Camera-проверку FACIL без 3-месячного барьера. Это ваш параллельный страховочный трек.</w:t>
      </w:r>
    </w:p>
    <w:p>
      <w:pPr>
        <w:spacing w:after="60" w:before="140"/>
      </w:pPr>
      <w:r>
        <w:rPr>
          <w:rFonts w:ascii="Georgia" w:cs="Georgia" w:eastAsia="Georgia" w:hAnsi="Georgia"/>
          <w:b/>
          <w:bCs/>
          <w:i/>
          <w:iCs/>
          <w:color w:val="444444"/>
          <w:sz w:val="22"/>
          <w:szCs w:val="22"/>
        </w:rPr>
        <w:t xml:space="preserve">5. Честно о шансах</w:t>
      </w:r>
    </w:p>
    <w:p>
      <w:pPr>
        <w:spacing w:after="70" w:before="70"/>
        <w:jc w:val="both"/>
      </w:pPr>
      <w:r>
        <w:rPr>
          <w:rFonts w:ascii="Georgia" w:cs="Georgia" w:eastAsia="Georgia" w:hAnsi="Georgia"/>
          <w:sz w:val="22"/>
          <w:szCs w:val="22"/>
        </w:rPr>
        <w:t xml:space="preserve">Иск по основной (п.3–4) суд с высокой вероятностью отложит до 08.09 (Sperrfrist). Eilantrag (п.1–2 — заморозка) имеет реальный, хоть и не гарантированный шанс. Я не обещаю победу — но этот вариант даёт лучший шанс и чистейший ASPE-результат при любом исходе.</w:t>
      </w:r>
    </w:p>
    <w:p>
      <w:pPr>
        <w:spacing w:after="60" w:before="140"/>
      </w:pPr>
      <w:r>
        <w:rPr>
          <w:rFonts w:ascii="Georgia" w:cs="Georgia" w:eastAsia="Georgia" w:hAnsi="Georgia"/>
          <w:b/>
          <w:bCs/>
          <w:i/>
          <w:iCs/>
          <w:color w:val="444444"/>
          <w:sz w:val="22"/>
          <w:szCs w:val="22"/>
        </w:rPr>
        <w:t xml:space="preserve">6. Аргумент «Израиль» — политический рычаг, не юридический выход</w:t>
      </w:r>
    </w:p>
    <w:p>
      <w:pPr>
        <w:spacing w:after="70" w:before="70"/>
        <w:jc w:val="both"/>
      </w:pPr>
      <w:r>
        <w:rPr>
          <w:rFonts w:ascii="Georgia" w:cs="Georgia" w:eastAsia="Georgia" w:hAnsi="Georgia"/>
          <w:sz w:val="22"/>
          <w:szCs w:val="22"/>
        </w:rPr>
        <w:t xml:space="preserve">Честно: дипломатическая защита Израилем гражданина, имеющего ТАКЖЕ немецкое гражданство, юридически ограничена: по международному праву (доктрина «доминирующего гражданства») государство обычно НЕ может защищать своего гражданина против другого государства его же гражданства. Поэтому это НЕ реальный путь спасения, а мощный политический рычаг (Staatsräson). Именно поэтому везде он сформулирован как ВОПРОС/выражение потери доверия, а не как угроза «я подам жалобу через Израиль». В иске он стоит как Schwere des Eingriffs, А НЕ как юридическое требование к суду — иначе судья спишет как политику. Метаданные + Art. 19 Abs. 4 GG остаются юридическим ядром.</w:t>
      </w:r>
    </w:p>
    <w:p>
      <w:pPr>
        <w:spacing w:after="60" w:before="140"/>
      </w:pPr>
      <w:r>
        <w:rPr>
          <w:rFonts w:ascii="Georgia" w:cs="Georgia" w:eastAsia="Georgia" w:hAnsi="Georgia"/>
          <w:b/>
          <w:bCs/>
          <w:i/>
          <w:iCs/>
          <w:color w:val="444444"/>
          <w:sz w:val="22"/>
          <w:szCs w:val="22"/>
        </w:rPr>
        <w:t xml:space="preserve">7. Здоровье</w:t>
      </w:r>
    </w:p>
    <w:p>
      <w:pPr>
        <w:spacing w:after="70" w:before="70"/>
        <w:jc w:val="both"/>
      </w:pPr>
      <w:r>
        <w:rPr>
          <w:rFonts w:ascii="Georgia" w:cs="Georgia" w:eastAsia="Georgia" w:hAnsi="Georgia"/>
          <w:sz w:val="22"/>
          <w:szCs w:val="22"/>
        </w:rPr>
        <w:t xml:space="preserve">Два дня подряд (24–25) — напряжённые. Подготовьте оба пакета заранее, чтобы 25-го только подписать и отправить. Не жгите себя.</w:t>
      </w:r>
    </w:p>
    <w:p>
      <w:pPr>
        <w:pBdr>
          <w:bottom w:val="single" w:color="AAAAAA" w:sz="2" w:space="1"/>
        </w:pBdr>
        <w:spacing w:after="100" w:before="100"/>
      </w:pPr>
    </w:p>
    <w:p>
      <w:pPr>
        <w:spacing w:after="0" w:before="40"/>
      </w:pPr>
    </w:p>
    <w:p>
      <w:pPr>
        <w:spacing w:after="70" w:before="70"/>
        <w:jc w:val="both"/>
      </w:pPr>
      <w:r>
        <w:rPr>
          <w:rFonts w:ascii="Georgia" w:cs="Georgia" w:eastAsia="Georgia" w:hAnsi="Georgia"/>
          <w:i/>
          <w:iCs/>
          <w:sz w:val="22"/>
          <w:szCs w:val="22"/>
        </w:rPr>
        <w:t xml:space="preserve">Создано: 19.06.2026 — Dr. Artiom Kovnatsky</w:t>
      </w:r>
    </w:p>
    <w:p>
      <w:pPr>
        <w:spacing w:after="70" w:before="70"/>
        <w:jc w:val="center"/>
      </w:pPr>
      <w:r>
        <w:rPr>
          <w:rFonts w:ascii="Georgia" w:cs="Georgia" w:eastAsia="Georgia" w:hAnsi="Georgia"/>
          <w:i/>
          <w:iCs/>
          <w:sz w:val="22"/>
          <w:szCs w:val="22"/>
        </w:rPr>
        <w:t xml:space="preserve">С Богом, возможно.</w:t>
      </w:r>
    </w:p>
    <w:sectPr>
      <w:headerReference w:type="default" r:id="rId7"/>
      <w:footerReference w:type="default" r:id="rId8"/>
      <w:pgSz w:w="11906" w:h="16838" w:orient="portrait"/>
      <w:pgMar w:top="14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1" w:space="3"/>
      </w:pBdr>
      <w:jc w:val="center"/>
    </w:pPr>
    <w:r>
      <w:rPr>
        <w:rFonts w:ascii="Georgia" w:cs="Georgia" w:eastAsia="Georgia" w:hAnsi="Georgia"/>
        <w:i/>
        <w:iCs/>
        <w:color w:val="AAAAAA"/>
        <w:sz w:val="13"/>
        <w:szCs w:val="13"/>
      </w:rPr>
      <w:t xml:space="preserve">ВНУТРЕННИЙ — Черновик для проверки юристом</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1" w:space="3"/>
      </w:pBdr>
      <w:spacing w:after="50" w:before="0"/>
      <w:jc w:val="center"/>
    </w:pPr>
    <w:r>
      <w:rPr>
        <w:rFonts w:ascii="Georgia" w:cs="Georgia" w:eastAsia="Georgia" w:hAnsi="Georgia"/>
        <w:i/>
        <w:iCs/>
        <w:color w:val="AAAAAA"/>
        <w:sz w:val="13"/>
        <w:szCs w:val="13"/>
      </w:rPr>
      <w:t xml:space="preserve">Литигация v7 — 759bc4c4 / R20 / VG Berlin — Dr. A. Kovnatsky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2026-06-19T09:12:06.560Z</dcterms:created>
  <dcterms:modified xsi:type="dcterms:W3CDTF">2026-06-19T09:12:06.576Z</dcterms:modified>
</cp:coreProperties>
</file>

<file path=docProps/custom.xml><?xml version="1.0" encoding="utf-8"?>
<Properties xmlns="http://schemas.openxmlformats.org/officeDocument/2006/custom-properties" xmlns:vt="http://schemas.openxmlformats.org/officeDocument/2006/docPropsVTypes"/>
</file>