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BF0C8" w14:textId="77777777" w:rsidR="00AD7774" w:rsidRPr="007115DD" w:rsidRDefault="002E5CA5">
      <w:pPr>
        <w:spacing w:after="0"/>
        <w:rPr>
          <w:lang w:val="de-DE"/>
        </w:rPr>
      </w:pPr>
      <w:r w:rsidRPr="007115DD">
        <w:rPr>
          <w:lang w:val="de-DE"/>
        </w:rPr>
        <w:t>An das Bundesverfassungsgericht</w:t>
      </w:r>
    </w:p>
    <w:p w14:paraId="54811992" w14:textId="77777777" w:rsidR="00AD7774" w:rsidRPr="007115DD" w:rsidRDefault="002E5CA5">
      <w:pPr>
        <w:spacing w:after="0"/>
        <w:rPr>
          <w:lang w:val="de-DE"/>
        </w:rPr>
      </w:pPr>
      <w:r w:rsidRPr="007115DD">
        <w:rPr>
          <w:lang w:val="de-DE"/>
        </w:rPr>
        <w:t>Schlossbezirk 3</w:t>
      </w:r>
    </w:p>
    <w:p w14:paraId="77BEEC0C" w14:textId="77777777" w:rsidR="00AD7774" w:rsidRPr="007115DD" w:rsidRDefault="002E5CA5">
      <w:pPr>
        <w:spacing w:after="360"/>
        <w:rPr>
          <w:lang w:val="de-DE"/>
        </w:rPr>
      </w:pPr>
      <w:r w:rsidRPr="007115DD">
        <w:rPr>
          <w:lang w:val="de-DE"/>
        </w:rPr>
        <w:t>76131 Karlsruhe</w:t>
      </w:r>
    </w:p>
    <w:p w14:paraId="72728BC8" w14:textId="77777777" w:rsidR="00AD7774" w:rsidRPr="007115DD" w:rsidRDefault="002E5CA5">
      <w:pPr>
        <w:spacing w:after="160"/>
        <w:rPr>
          <w:lang w:val="de-DE"/>
        </w:rPr>
      </w:pPr>
      <w:r w:rsidRPr="007115DD">
        <w:rPr>
          <w:b/>
          <w:sz w:val="28"/>
          <w:lang w:val="de-DE"/>
        </w:rPr>
        <w:t>Verfassungsbeschwerde</w:t>
      </w:r>
    </w:p>
    <w:p w14:paraId="2F696893" w14:textId="77777777" w:rsidR="00AD7774" w:rsidRPr="007115DD" w:rsidRDefault="002E5CA5">
      <w:pPr>
        <w:spacing w:after="280"/>
        <w:rPr>
          <w:lang w:val="de-DE"/>
        </w:rPr>
      </w:pPr>
      <w:r w:rsidRPr="007115DD">
        <w:rPr>
          <w:i/>
          <w:lang w:val="de-DE"/>
        </w:rPr>
        <w:t>(Entwurf — zur Einreichung erst nach Rechtswegerschöpfung)</w:t>
      </w:r>
    </w:p>
    <w:p w14:paraId="79DD9F0C" w14:textId="60E22174" w:rsidR="00AD7774" w:rsidRDefault="002E5CA5">
      <w:pPr>
        <w:spacing w:after="280"/>
      </w:pPr>
      <w:r w:rsidRPr="007115DD">
        <w:rPr>
          <w:lang w:val="de-DE"/>
        </w:rPr>
        <w:t xml:space="preserve">des Herrn Dr. Artiom </w:t>
      </w:r>
      <w:r w:rsidR="00192278" w:rsidRPr="007115DD">
        <w:rPr>
          <w:lang w:val="de-DE"/>
        </w:rPr>
        <w:t xml:space="preserve">A. </w:t>
      </w:r>
      <w:r w:rsidRPr="007115DD">
        <w:rPr>
          <w:lang w:val="de-DE"/>
        </w:rPr>
        <w:t xml:space="preserve">Kovnatsky, Dahlmannstr. </w:t>
      </w:r>
      <w:r>
        <w:t>17, 10629 Berlin — Beschwerdeführer —</w:t>
      </w:r>
    </w:p>
    <w:p w14:paraId="462B92C9" w14:textId="77777777" w:rsidR="00AD7774" w:rsidRDefault="002E5CA5">
      <w:pPr>
        <w:spacing w:after="120"/>
      </w:pPr>
      <w:r>
        <w:rPr>
          <w:b/>
        </w:rPr>
        <w:t>Gegen:</w:t>
      </w:r>
    </w:p>
    <w:p w14:paraId="10AAF394" w14:textId="77777777" w:rsidR="00AD7774" w:rsidRDefault="002E5CA5">
      <w:pPr>
        <w:pStyle w:val="ListBullet"/>
        <w:spacing w:after="160"/>
      </w:pPr>
      <w:r w:rsidRPr="007115DD">
        <w:rPr>
          <w:lang w:val="de-DE"/>
        </w:rPr>
        <w:t xml:space="preserve">den Bescheid des Auswärtigen Amts vom 12. </w:t>
      </w:r>
      <w:r>
        <w:t>Mai 2026 (</w:t>
      </w:r>
      <w:proofErr w:type="spellStart"/>
      <w:r>
        <w:t>Gz</w:t>
      </w:r>
      <w:proofErr w:type="spellEnd"/>
      <w:r>
        <w:t>. 505-511.03 IFG 123-2026);</w:t>
      </w:r>
    </w:p>
    <w:p w14:paraId="094F1DFB" w14:textId="77777777" w:rsidR="00AD7774" w:rsidRDefault="002E5CA5">
      <w:pPr>
        <w:pStyle w:val="ListBullet"/>
        <w:spacing w:after="160"/>
      </w:pPr>
      <w:r w:rsidRPr="007115DD">
        <w:rPr>
          <w:lang w:val="de-DE"/>
        </w:rPr>
        <w:t>den Widerspruchsbescheid vom 2. Juli 2026 (</w:t>
      </w:r>
      <w:proofErr w:type="spellStart"/>
      <w:r w:rsidRPr="007115DD">
        <w:rPr>
          <w:lang w:val="de-DE"/>
        </w:rPr>
        <w:t>Gz</w:t>
      </w:r>
      <w:proofErr w:type="spellEnd"/>
      <w:r w:rsidRPr="007115DD">
        <w:rPr>
          <w:lang w:val="de-DE"/>
        </w:rPr>
        <w:t xml:space="preserve">. </w:t>
      </w:r>
      <w:r>
        <w:t>R20-511.03 IFG 123-2026);</w:t>
      </w:r>
    </w:p>
    <w:p w14:paraId="3B3DD5EA" w14:textId="77777777" w:rsidR="00AD7774" w:rsidRPr="007115DD" w:rsidRDefault="002E5CA5">
      <w:pPr>
        <w:pStyle w:val="ListBullet"/>
        <w:spacing w:after="160"/>
        <w:rPr>
          <w:lang w:val="de-DE"/>
        </w:rPr>
      </w:pPr>
      <w:r w:rsidRPr="007115DD">
        <w:rPr>
          <w:lang w:val="de-DE"/>
        </w:rPr>
        <w:t>[nach Rechtswegerschöpfung: das Urteil/den Beschluss des Verwaltungsgerichts Berlin vom [Datum], Az. [Az.], sowie — soweit ergangen — die hierzu ergangenen Entscheidungen des OVG Berlin-Brandenburg und/oder des Bundesverwaltungsgerichts];</w:t>
      </w:r>
    </w:p>
    <w:p w14:paraId="4E444088" w14:textId="77777777" w:rsidR="00AD7774" w:rsidRPr="007115DD" w:rsidRDefault="002E5CA5">
      <w:pPr>
        <w:pStyle w:val="ListBullet"/>
        <w:spacing w:after="160"/>
        <w:rPr>
          <w:lang w:val="de-DE"/>
        </w:rPr>
      </w:pPr>
      <w:r w:rsidRPr="007115DD">
        <w:rPr>
          <w:lang w:val="de-DE"/>
        </w:rPr>
        <w:t>sowie mittelbar gegen die diesen zugrunde liegende Verwaltungspraxis der automatisierten, ungelesenen Schließung von Bürgereingaben im System „FACIL“ (Vorgang 759bc4c4-387d-49e7-9e16-9a2b56c9da0e).</w:t>
      </w:r>
    </w:p>
    <w:p w14:paraId="2B6C8909" w14:textId="77777777" w:rsidR="00AD7774" w:rsidRPr="007115DD" w:rsidRDefault="002E5CA5">
      <w:pPr>
        <w:spacing w:after="160"/>
        <w:rPr>
          <w:lang w:val="de-DE"/>
        </w:rPr>
      </w:pPr>
      <w:r w:rsidRPr="007115DD">
        <w:rPr>
          <w:b/>
          <w:sz w:val="24"/>
          <w:lang w:val="de-DE"/>
        </w:rPr>
        <w:t>I. Gegenstand und Sachverhalt</w:t>
      </w:r>
    </w:p>
    <w:p w14:paraId="7DD1D9C2" w14:textId="77777777" w:rsidR="00AD7774" w:rsidRPr="007115DD" w:rsidRDefault="002E5CA5">
      <w:pPr>
        <w:spacing w:after="280"/>
        <w:rPr>
          <w:lang w:val="de-DE"/>
        </w:rPr>
      </w:pPr>
      <w:r w:rsidRPr="007115DD">
        <w:rPr>
          <w:lang w:val="de-DE"/>
        </w:rPr>
        <w:t>Das Auswärtige Amt bearbeitet nach eigener Darstellung rund 260.000 schriftliche Bürgeranfragen jährlich über das Anfragemanagementsystem FACIL. In der amtlichen Vorgangskorrespondenz zum Vorgang 759bc4c4-387d-49e7-9e16-9a2b56c9da0e heißt es wörtlich, Bürgeranfragen zu vielen Themen würden „nach Versand einer automatischen Antwort durch das System ungelesen geschlossen“. Gegenstand der Eingabe des Beschwerdeführers vom 21. September 2025 war ein mit Ton- und Dokumentenmaterial belegter Hinweis auf mögliche schwerwiegende Menschenrechtsverletzungen (Zwangsrekrutierung und Inhaftierung eines ukrainischen Zivilisten). Die Eingabe wurde gleichwohl im automatisierten Massenverfahren behandelt. Den anschließenden Antrag auf Informationszugang nach dem IFG lehnte die Behörde mit Bescheid vom 12. Mai 2026 ab, mit der Begründung, es lägen keine amtlichen Informationen bzw. Vermerke vor, da derartige Anfragen routinemäßig ohne inhaltliche Bearbeitung geschlossen würden; der Widerspruch wurde mit Bescheid vom 2. Juli 2026 zurückgewiesen. Der Beschwerdeführer hat hiergegen fristgerecht Verpflichtungsklage zum Verwaltungsgericht Berlin erhoben [Ergänzung nach Abschluss des Rechtswegs].</w:t>
      </w:r>
    </w:p>
    <w:p w14:paraId="769BF038" w14:textId="77777777" w:rsidR="00AD7774" w:rsidRPr="007115DD" w:rsidRDefault="002E5CA5">
      <w:pPr>
        <w:spacing w:after="160"/>
        <w:rPr>
          <w:lang w:val="de-DE"/>
        </w:rPr>
      </w:pPr>
      <w:r w:rsidRPr="007115DD">
        <w:rPr>
          <w:b/>
          <w:sz w:val="24"/>
          <w:lang w:val="de-DE"/>
        </w:rPr>
        <w:t>II. Zulässigkeit</w:t>
      </w:r>
    </w:p>
    <w:p w14:paraId="575B8137" w14:textId="77777777" w:rsidR="00AD7774" w:rsidRPr="007115DD" w:rsidRDefault="002E5CA5">
      <w:pPr>
        <w:rPr>
          <w:lang w:val="de-DE"/>
        </w:rPr>
      </w:pPr>
      <w:r w:rsidRPr="007115DD">
        <w:rPr>
          <w:b/>
          <w:lang w:val="de-DE"/>
        </w:rPr>
        <w:t xml:space="preserve">1. Beschwerdegegenstand. </w:t>
      </w:r>
      <w:r w:rsidRPr="007115DD">
        <w:rPr>
          <w:lang w:val="de-DE"/>
        </w:rPr>
        <w:t>Akte öffentlicher Gewalt (die genannten Bescheide, die verwaltungsgerichtlichen Entscheidungen sowie die ihnen zugrunde liegende Verwaltungspraxis).</w:t>
      </w:r>
    </w:p>
    <w:p w14:paraId="6C78F1F8" w14:textId="77777777" w:rsidR="00AD7774" w:rsidRPr="007115DD" w:rsidRDefault="002E5CA5">
      <w:pPr>
        <w:rPr>
          <w:lang w:val="de-DE"/>
        </w:rPr>
      </w:pPr>
      <w:r w:rsidRPr="007115DD">
        <w:rPr>
          <w:b/>
          <w:lang w:val="de-DE"/>
        </w:rPr>
        <w:lastRenderedPageBreak/>
        <w:t xml:space="preserve">2. Beschwerdebefugnis. </w:t>
      </w:r>
      <w:r w:rsidRPr="007115DD">
        <w:rPr>
          <w:lang w:val="de-DE"/>
        </w:rPr>
        <w:t xml:space="preserve">Der Beschwerdeführer ist selbst, gegenwärtig und unmittelbar in eigenen Grundrechten betroffen — als Petent (Art. 17 GG) und als Beteiligter eines Verwaltungsverfahrens (Art. 2 Abs. 1 </w:t>
      </w:r>
      <w:proofErr w:type="spellStart"/>
      <w:r w:rsidRPr="007115DD">
        <w:rPr>
          <w:lang w:val="de-DE"/>
        </w:rPr>
        <w:t>i.V.m</w:t>
      </w:r>
      <w:proofErr w:type="spellEnd"/>
      <w:r w:rsidRPr="007115DD">
        <w:rPr>
          <w:lang w:val="de-DE"/>
        </w:rPr>
        <w:t xml:space="preserve">. Art. 20 Abs. 3 GG). Klarstellung: Die Beschwerde stützt sich ausschließlich auf eigene Grundrechte des Beschwerdeführers; Rechte der von den Eingaben betroffenen Dritten werden nicht in </w:t>
      </w:r>
      <w:proofErr w:type="spellStart"/>
      <w:r w:rsidRPr="007115DD">
        <w:rPr>
          <w:lang w:val="de-DE"/>
        </w:rPr>
        <w:t>Prozessstandschaft</w:t>
      </w:r>
      <w:proofErr w:type="spellEnd"/>
      <w:r w:rsidRPr="007115DD">
        <w:rPr>
          <w:lang w:val="de-DE"/>
        </w:rPr>
        <w:t xml:space="preserve"> geltend gemacht.</w:t>
      </w:r>
    </w:p>
    <w:p w14:paraId="76E7B2DF" w14:textId="77777777" w:rsidR="00AD7774" w:rsidRPr="007115DD" w:rsidRDefault="002E5CA5">
      <w:pPr>
        <w:rPr>
          <w:lang w:val="de-DE"/>
        </w:rPr>
      </w:pPr>
      <w:r w:rsidRPr="007115DD">
        <w:rPr>
          <w:b/>
          <w:lang w:val="de-DE"/>
        </w:rPr>
        <w:t xml:space="preserve">3. Rechtswegerschöpfung (§ 90 Abs. 2 BVerfGG). </w:t>
      </w:r>
      <w:r w:rsidRPr="007115DD">
        <w:rPr>
          <w:lang w:val="de-DE"/>
        </w:rPr>
        <w:t>Der Beschwerdeführer hat den Verwaltungsrechtsweg durchlaufen: Verpflichtungsklage zum Verwaltungsgericht Berlin [Az. einzufügen], Entscheidung vom [Datum]; [ggf. Berufung/Revision und deren Ergebnis einzufügen].</w:t>
      </w:r>
    </w:p>
    <w:p w14:paraId="31C617EA" w14:textId="77777777" w:rsidR="00AD7774" w:rsidRPr="007115DD" w:rsidRDefault="002E5CA5">
      <w:pPr>
        <w:rPr>
          <w:lang w:val="de-DE"/>
        </w:rPr>
      </w:pPr>
      <w:r w:rsidRPr="007115DD">
        <w:rPr>
          <w:b/>
          <w:lang w:val="de-DE"/>
        </w:rPr>
        <w:t xml:space="preserve">4. Frist (§ 93 Abs. 1 BVerfGG). </w:t>
      </w:r>
      <w:r w:rsidRPr="007115DD">
        <w:rPr>
          <w:lang w:val="de-DE"/>
        </w:rPr>
        <w:t xml:space="preserve">Ein Monat ab Zustellung der </w:t>
      </w:r>
      <w:proofErr w:type="spellStart"/>
      <w:r w:rsidRPr="007115DD">
        <w:rPr>
          <w:lang w:val="de-DE"/>
        </w:rPr>
        <w:t>letztinstanzlichen</w:t>
      </w:r>
      <w:proofErr w:type="spellEnd"/>
      <w:r w:rsidRPr="007115DD">
        <w:rPr>
          <w:lang w:val="de-DE"/>
        </w:rPr>
        <w:t xml:space="preserve"> Entscheidung; Zustellung am [Datum einzufügen], Fristende demnach [Datum einzufügen].</w:t>
      </w:r>
    </w:p>
    <w:p w14:paraId="17902C13" w14:textId="77777777" w:rsidR="00AD7774" w:rsidRPr="007115DD" w:rsidRDefault="002E5CA5">
      <w:pPr>
        <w:spacing w:after="160"/>
        <w:rPr>
          <w:lang w:val="de-DE"/>
        </w:rPr>
      </w:pPr>
      <w:r w:rsidRPr="007115DD">
        <w:rPr>
          <w:b/>
          <w:sz w:val="24"/>
          <w:lang w:val="de-DE"/>
        </w:rPr>
        <w:t>III. Begründetheit — Verletzung eigener Grundrechte</w:t>
      </w:r>
    </w:p>
    <w:p w14:paraId="10F793FF" w14:textId="77777777" w:rsidR="00AD7774" w:rsidRPr="007115DD" w:rsidRDefault="002E5CA5">
      <w:pPr>
        <w:rPr>
          <w:lang w:val="de-DE"/>
        </w:rPr>
      </w:pPr>
      <w:r w:rsidRPr="007115DD">
        <w:rPr>
          <w:b/>
          <w:lang w:val="de-DE"/>
        </w:rPr>
        <w:t xml:space="preserve">1. Art. 17 GG (Petitionsgrundrecht). </w:t>
      </w:r>
      <w:r w:rsidRPr="007115DD">
        <w:rPr>
          <w:lang w:val="de-DE"/>
        </w:rPr>
        <w:t>Das Petitionsgrundrecht gewährleistet nicht nur das Einreichen einer Eingabe, sondern den Anspruch, dass die zuständige Stelle die Eingabe entgegennimmt, ihren Inhalt zur Kenntnis nimmt und sachlich bescheidet. Eine systemseitige Schließung „ungelesen“ nimmt den Inhalt gerade nicht zur Kenntnis und entwertet damit den verfassungsrechtlich geschützten Kernbereich des Art. 17 GG.</w:t>
      </w:r>
    </w:p>
    <w:p w14:paraId="04F54EDE" w14:textId="77777777" w:rsidR="00AD7774" w:rsidRPr="007115DD" w:rsidRDefault="002E5CA5">
      <w:pPr>
        <w:rPr>
          <w:lang w:val="de-DE"/>
        </w:rPr>
      </w:pPr>
      <w:r w:rsidRPr="007115DD">
        <w:rPr>
          <w:b/>
          <w:lang w:val="de-DE"/>
        </w:rPr>
        <w:t xml:space="preserve">2. Art. 2 Abs. 1 </w:t>
      </w:r>
      <w:proofErr w:type="spellStart"/>
      <w:r w:rsidRPr="007115DD">
        <w:rPr>
          <w:b/>
          <w:lang w:val="de-DE"/>
        </w:rPr>
        <w:t>i.V.m</w:t>
      </w:r>
      <w:proofErr w:type="spellEnd"/>
      <w:r w:rsidRPr="007115DD">
        <w:rPr>
          <w:b/>
          <w:lang w:val="de-DE"/>
        </w:rPr>
        <w:t xml:space="preserve">. Art. 20 Abs. 3 GG. </w:t>
      </w:r>
      <w:r w:rsidRPr="007115DD">
        <w:rPr>
          <w:lang w:val="de-DE"/>
        </w:rPr>
        <w:t>Der Beschwerdeführer hat Anspruch auf ein rechtsstaatliches, faires Verwaltungsverfahren und auf eine objektive, sachgerechte Behandlung seines Anliegens. Eine inhaltsblinde Massen-Schließung genügt diesen Anforderungen nicht.</w:t>
      </w:r>
    </w:p>
    <w:p w14:paraId="51DF5B16" w14:textId="77777777" w:rsidR="00AD7774" w:rsidRPr="007115DD" w:rsidRDefault="002E5CA5">
      <w:pPr>
        <w:rPr>
          <w:lang w:val="de-DE"/>
        </w:rPr>
      </w:pPr>
      <w:r w:rsidRPr="007115DD">
        <w:rPr>
          <w:b/>
          <w:lang w:val="de-DE"/>
        </w:rPr>
        <w:t xml:space="preserve">3. Art. 3 Abs. 1 GG (Willkürverbot). </w:t>
      </w:r>
      <w:r w:rsidRPr="007115DD">
        <w:rPr>
          <w:lang w:val="de-DE"/>
        </w:rPr>
        <w:t>Die verfahrensmäßige Gleichbehandlung eines grundrechtssensiblen Hinweises mit thematisch beliebigen Massenanfragen ist sachlich nicht gerechtfertigt.</w:t>
      </w:r>
    </w:p>
    <w:p w14:paraId="00B63CED" w14:textId="77777777" w:rsidR="00AD7774" w:rsidRPr="002E5CA5" w:rsidRDefault="002E5CA5">
      <w:pPr>
        <w:spacing w:after="160"/>
        <w:rPr>
          <w:lang w:val="de-DE"/>
        </w:rPr>
      </w:pPr>
      <w:r w:rsidRPr="002E5CA5">
        <w:rPr>
          <w:b/>
          <w:sz w:val="24"/>
          <w:lang w:val="de-DE"/>
        </w:rPr>
        <w:t>IV. Verfassungsrechtliches Gewicht — Nichtbefassung mit Menschenrechtshinweisen</w:t>
      </w:r>
    </w:p>
    <w:p w14:paraId="6A4C1315" w14:textId="77777777" w:rsidR="00AD7774" w:rsidRPr="002E5CA5" w:rsidRDefault="002E5CA5">
      <w:pPr>
        <w:spacing w:after="280"/>
        <w:rPr>
          <w:lang w:val="de-DE"/>
        </w:rPr>
      </w:pPr>
      <w:r w:rsidRPr="002E5CA5">
        <w:rPr>
          <w:lang w:val="de-DE"/>
        </w:rPr>
        <w:t>Die verfassungsrechtliche Intensität des Eingriffs erreicht ihren Höhepunkt gerade dort, wo die automatisierte Architektur die inhaltliche Befassung mit Eingaben ausschließt, die Marker schwerwiegender Menschenrechtsverletzungen tragen. Art. 1 Abs. 1 GG (Menschenwürde) und Art. 1 Abs. 3 GG (Bindung aller staatlichen Gewalt an die Grundrechte) bilden als objektive Wertordnung den Maßstab, an dem die Auslegung von Art. 17 und Art. 20 Abs. 3 GG auszurichten ist. Eine staatliche Verwaltungsarchitektur, die derartige Signale bereits an der Eingangsschwelle „ungelesen“ schließt, gibt die eigene verfassungsrechtliche Selbstbindung an die Grundrechte im Moment der Kenntnisnahme preis. Klarstellung: Art. 1 GG wird hier in seiner objektiv-rechtlichen Dimension als Auslegungsmaßstab herangezogen, nicht zur Geltendmachung subjektiver Rechte Dritter.</w:t>
      </w:r>
      <w:r w:rsidRPr="002E5CA5">
        <w:rPr>
          <w:lang w:val="de-DE"/>
        </w:rPr>
        <w:br/>
      </w:r>
      <w:r w:rsidRPr="002E5CA5">
        <w:rPr>
          <w:lang w:val="de-DE"/>
        </w:rPr>
        <w:br/>
        <w:t xml:space="preserve">Diese verfassungsrechtliche Rüge wurde bereits im fachgerichtlichen Verfahren (Klage zum </w:t>
      </w:r>
      <w:r w:rsidRPr="002E5CA5">
        <w:rPr>
          <w:lang w:val="de-DE"/>
        </w:rPr>
        <w:lastRenderedPageBreak/>
        <w:t>Verwaltungsgericht Berlin, dortiger Abschnitt VII) vorgebracht, um die Subsidiarität der Verfassungsbeschwerde zu wahren und dem Fachgericht zunächst Gelegenheit zur grundrechtskonformen Auslegung des einfachen Rechts zu geben.</w:t>
      </w:r>
    </w:p>
    <w:p w14:paraId="0384F54F" w14:textId="77777777" w:rsidR="00AD7774" w:rsidRDefault="002E5CA5">
      <w:pPr>
        <w:spacing w:after="160"/>
      </w:pPr>
      <w:r>
        <w:rPr>
          <w:b/>
          <w:sz w:val="24"/>
        </w:rPr>
        <w:t>V. Anträge</w:t>
      </w:r>
    </w:p>
    <w:p w14:paraId="1EC38D20" w14:textId="77777777" w:rsidR="00AD7774" w:rsidRPr="002E5CA5" w:rsidRDefault="002E5CA5">
      <w:pPr>
        <w:pStyle w:val="ListBullet"/>
        <w:rPr>
          <w:lang w:val="de-DE"/>
        </w:rPr>
      </w:pPr>
      <w:r w:rsidRPr="002E5CA5">
        <w:rPr>
          <w:lang w:val="de-DE"/>
        </w:rPr>
        <w:t xml:space="preserve">festzustellen, dass die angegriffenen Bescheide, die verwaltungsgerichtlichen Entscheidungen und die ihnen zugrunde liegende Verwaltungspraxis den Beschwerdeführer in seinen Grundrechten aus Art. 17 GG sowie Art. 2 Abs. 1 </w:t>
      </w:r>
      <w:proofErr w:type="spellStart"/>
      <w:r w:rsidRPr="002E5CA5">
        <w:rPr>
          <w:lang w:val="de-DE"/>
        </w:rPr>
        <w:t>i.V.m</w:t>
      </w:r>
      <w:proofErr w:type="spellEnd"/>
      <w:r w:rsidRPr="002E5CA5">
        <w:rPr>
          <w:lang w:val="de-DE"/>
        </w:rPr>
        <w:t>. Art. 20 Abs. 3 GG verletzen;</w:t>
      </w:r>
    </w:p>
    <w:p w14:paraId="4F09CBA8" w14:textId="77777777" w:rsidR="00AD7774" w:rsidRPr="002E5CA5" w:rsidRDefault="002E5CA5">
      <w:pPr>
        <w:pStyle w:val="ListBullet"/>
        <w:rPr>
          <w:lang w:val="de-DE"/>
        </w:rPr>
      </w:pPr>
      <w:r w:rsidRPr="002E5CA5">
        <w:rPr>
          <w:lang w:val="de-DE"/>
        </w:rPr>
        <w:t>die angegriffenen Entscheidungen aufzuheben und die Sache nach Maßgabe der Gründe zurückzuverweisen.</w:t>
      </w:r>
    </w:p>
    <w:p w14:paraId="45D6CD5D" w14:textId="21E93082" w:rsidR="00AD7774" w:rsidRPr="007115DD" w:rsidRDefault="002E5CA5">
      <w:pPr>
        <w:spacing w:after="320"/>
        <w:rPr>
          <w:lang w:val="de-DE"/>
        </w:rPr>
      </w:pPr>
      <w:r w:rsidRPr="007115DD">
        <w:rPr>
          <w:lang w:val="de-DE"/>
        </w:rPr>
        <w:t>Ort, Datum ___________________</w:t>
      </w:r>
      <w:proofErr w:type="gramStart"/>
      <w:r w:rsidRPr="007115DD">
        <w:rPr>
          <w:lang w:val="de-DE"/>
        </w:rPr>
        <w:t>_  Unterschrift</w:t>
      </w:r>
      <w:proofErr w:type="gramEnd"/>
      <w:r w:rsidRPr="007115DD">
        <w:rPr>
          <w:lang w:val="de-DE"/>
        </w:rPr>
        <w:t xml:space="preserve"> ________________(Dr. </w:t>
      </w:r>
      <w:r w:rsidR="007115DD" w:rsidRPr="007115DD">
        <w:rPr>
          <w:lang w:val="de-DE"/>
        </w:rPr>
        <w:t xml:space="preserve">Artiom </w:t>
      </w:r>
      <w:r w:rsidRPr="007115DD">
        <w:rPr>
          <w:lang w:val="de-DE"/>
        </w:rPr>
        <w:t>A. Kovnatsky)</w:t>
      </w:r>
    </w:p>
    <w:p w14:paraId="5C9140C0" w14:textId="2FAAB3CF" w:rsidR="00AD7774" w:rsidRPr="002E5CA5" w:rsidRDefault="002E5CA5">
      <w:pPr>
        <w:spacing w:after="0"/>
        <w:rPr>
          <w:lang w:val="de-DE"/>
        </w:rPr>
      </w:pPr>
      <w:r w:rsidRPr="002E5CA5">
        <w:rPr>
          <w:i/>
          <w:lang w:val="de-DE"/>
        </w:rPr>
        <w:t xml:space="preserve">Anlagen: </w:t>
      </w:r>
      <w:r>
        <w:rPr>
          <w:i/>
          <w:lang w:val="de-DE"/>
        </w:rPr>
        <w:br/>
      </w:r>
      <w:r w:rsidRPr="002E5CA5">
        <w:rPr>
          <w:i/>
          <w:lang w:val="de-DE"/>
        </w:rPr>
        <w:t xml:space="preserve">Bescheid vom 12.05.2026; </w:t>
      </w:r>
      <w:r>
        <w:rPr>
          <w:i/>
          <w:lang w:val="de-DE"/>
        </w:rPr>
        <w:br/>
      </w:r>
      <w:r w:rsidRPr="002E5CA5">
        <w:rPr>
          <w:i/>
          <w:lang w:val="de-DE"/>
        </w:rPr>
        <w:t xml:space="preserve">Widerspruchsbescheid vom 02.07.2026; </w:t>
      </w:r>
      <w:r>
        <w:rPr>
          <w:i/>
          <w:lang w:val="de-DE"/>
        </w:rPr>
        <w:br/>
      </w:r>
      <w:r w:rsidRPr="002E5CA5">
        <w:rPr>
          <w:i/>
          <w:lang w:val="de-DE"/>
        </w:rPr>
        <w:t xml:space="preserve">[Entscheidung(en) des Verwaltungsrechtswegs]; </w:t>
      </w:r>
      <w:r>
        <w:rPr>
          <w:i/>
          <w:lang w:val="de-DE"/>
        </w:rPr>
        <w:br/>
      </w:r>
      <w:r w:rsidRPr="002E5CA5">
        <w:rPr>
          <w:i/>
          <w:lang w:val="de-DE"/>
        </w:rPr>
        <w:t xml:space="preserve">Vorgangsdokumentation FACIL; </w:t>
      </w:r>
      <w:r>
        <w:rPr>
          <w:i/>
          <w:lang w:val="de-DE"/>
        </w:rPr>
        <w:br/>
      </w:r>
      <w:r w:rsidRPr="002E5CA5">
        <w:rPr>
          <w:i/>
          <w:lang w:val="de-DE"/>
        </w:rPr>
        <w:t>Klageschrift VG Berlin vom [Datum].</w:t>
      </w:r>
    </w:p>
    <w:sectPr w:rsidR="00AD7774" w:rsidRPr="002E5C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278"/>
    <w:rsid w:val="0029639D"/>
    <w:rsid w:val="002E5CA5"/>
    <w:rsid w:val="00326F90"/>
    <w:rsid w:val="007115DD"/>
    <w:rsid w:val="007C603E"/>
    <w:rsid w:val="00AA1D8D"/>
    <w:rsid w:val="00AD777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1A53B"/>
  <w14:defaultImageDpi w14:val="300"/>
  <w15:docId w15:val="{0BCD2D89-53C6-F947-871A-53E43738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884</Words>
  <Characters>5041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5</cp:revision>
  <dcterms:created xsi:type="dcterms:W3CDTF">2013-12-23T23:15:00Z</dcterms:created>
  <dcterms:modified xsi:type="dcterms:W3CDTF">2026-07-07T11:34:00Z</dcterms:modified>
  <cp:category/>
</cp:coreProperties>
</file>