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C0392B" w:sz="4"/>
          <w:left w:val="single" w:color="C0392B" w:sz="4"/>
          <w:bottom w:val="single" w:color="C0392B" w:sz="4"/>
          <w:right w:val="single" w:color="C0392B" w:sz="4"/>
          <w:insideH w:val="single" w:color="C0392B" w:sz="4"/>
          <w:insideV w:val="single" w:color="C0392B" w:sz="4"/>
        </w:tblBorders>
      </w:tblPr>
      <w:tblGrid>
        <w:gridCol w:w="9026"/>
      </w:tblGrid>
      <w:tr>
        <w:tc>
          <w:tcPr>
            <w:tcW w:type="dxa" w:w="9026"/>
            <w:shd w:fill="FDEDEC" w:val="clear"/>
            <w:tcMar>
              <w:top w:type="dxa" w:w="100"/>
              <w:left w:type="dxa" w:w="160"/>
              <w:bottom w:type="dxa" w:w="100"/>
              <w:right w:type="dxa" w:w="160"/>
            </w:tcMar>
          </w:tcPr>
          <w:p>
            <w:pPr>
              <w:spacing w:after="0"/>
              <w:jc w:val="center"/>
            </w:pPr>
            <w:r>
              <w:rPr>
                <w:rFonts w:ascii="Times New Roman" w:cs="Times New Roman" w:eastAsia="Times New Roman" w:hAnsi="Times New Roman"/>
                <w:b/>
                <w:bCs/>
                <w:color w:val="922B21"/>
                <w:sz w:val="20"/>
                <w:szCs w:val="20"/>
              </w:rPr>
              <w:t xml:space="preserve">ENTWURF – zur Prüfung, Vervollständigung und Einreichung durch die Prozessbevollmächtigten. Gelb markierte Stellen = einzusetzen/zu verifizieren. Rote Kästen = interne Anmerkungen, vor Einreichung löschen.</w:t>
            </w:r>
          </w:p>
        </w:tc>
      </w:tr>
    </w:tbl>
    <w:p>
      <w:pPr>
        <w:spacing w:after="200"/>
      </w:pPr>
    </w:p>
    <w:p>
      <w:pPr>
        <w:spacing w:after="120" w:before="0" w:line="300"/>
        <w:jc w:val="left"/>
      </w:pPr>
      <w:r>
        <w:rPr>
          <w:rFonts w:ascii="Times New Roman" w:cs="Times New Roman" w:eastAsia="Times New Roman" w:hAnsi="Times New Roman"/>
          <w:b w:val="false"/>
          <w:bCs w:val="false"/>
          <w:i w:val="false"/>
          <w:iCs w:val="false"/>
          <w:sz w:val="22"/>
          <w:szCs w:val="22"/>
          <w:highlight w:val="yellow"/>
          <w:highlightCs w:val="yellow"/>
        </w:rPr>
        <w:t xml:space="preserve">[Briefkopf der Kanzlei / Prozessbevollmächtigte]</w:t>
      </w:r>
    </w:p>
    <w:p>
      <w:pPr>
        <w:spacing w:after="80"/>
      </w:pPr>
    </w:p>
    <w:p>
      <w:pPr>
        <w:spacing w:after="0" w:before="0" w:line="300"/>
        <w:jc w:val="left"/>
      </w:pPr>
      <w:r>
        <w:rPr>
          <w:rFonts w:ascii="Times New Roman" w:cs="Times New Roman" w:eastAsia="Times New Roman" w:hAnsi="Times New Roman"/>
          <w:b/>
          <w:bCs/>
          <w:i w:val="false"/>
          <w:iCs w:val="false"/>
          <w:sz w:val="22"/>
          <w:szCs w:val="22"/>
        </w:rPr>
        <w:t xml:space="preserve">An das</w:t>
      </w:r>
    </w:p>
    <w:p>
      <w:pPr>
        <w:spacing w:after="0" w:before="0" w:line="300"/>
        <w:jc w:val="left"/>
      </w:pPr>
      <w:r>
        <w:rPr>
          <w:rFonts w:ascii="Times New Roman" w:cs="Times New Roman" w:eastAsia="Times New Roman" w:hAnsi="Times New Roman"/>
          <w:b/>
          <w:bCs/>
          <w:i w:val="false"/>
          <w:iCs w:val="false"/>
          <w:sz w:val="22"/>
          <w:szCs w:val="22"/>
        </w:rPr>
        <w:t xml:space="preserve">Amtsgericht Charlottenburg</w:t>
      </w:r>
    </w:p>
    <w:p>
      <w:pPr>
        <w:spacing w:after="0" w:before="0" w:line="300"/>
        <w:jc w:val="left"/>
      </w:pPr>
      <w:r>
        <w:rPr>
          <w:rFonts w:ascii="Times New Roman" w:cs="Times New Roman" w:eastAsia="Times New Roman" w:hAnsi="Times New Roman"/>
          <w:sz w:val="22"/>
          <w:szCs w:val="22"/>
        </w:rPr>
        <w:t xml:space="preserve">– Abteilung für Wohnraummietsachen –</w:t>
      </w:r>
    </w:p>
    <w:p>
      <w:pPr>
        <w:spacing w:after="0" w:before="0" w:line="300"/>
        <w:jc w:val="left"/>
      </w:pPr>
      <w:r>
        <w:rPr>
          <w:rFonts w:ascii="Times New Roman" w:cs="Times New Roman" w:eastAsia="Times New Roman" w:hAnsi="Times New Roman"/>
          <w:sz w:val="22"/>
          <w:szCs w:val="22"/>
        </w:rPr>
        <w:t xml:space="preserve">Amtsgerichtsplatz 1</w:t>
      </w:r>
    </w:p>
    <w:p>
      <w:pPr>
        <w:spacing w:after="60" w:before="0" w:line="300"/>
        <w:jc w:val="left"/>
      </w:pPr>
      <w:r>
        <w:rPr>
          <w:rFonts w:ascii="Times New Roman" w:cs="Times New Roman" w:eastAsia="Times New Roman" w:hAnsi="Times New Roman"/>
          <w:sz w:val="22"/>
          <w:szCs w:val="22"/>
        </w:rPr>
        <w:t xml:space="preserve">14057 Berlin</w:t>
      </w:r>
    </w:p>
    <w:p>
      <w:pPr>
        <w:spacing w:after="200" w:before="0" w:line="300"/>
        <w:jc w:val="left"/>
      </w:pPr>
      <w:r>
        <w:rPr>
          <w:rFonts w:ascii="Times New Roman" w:cs="Times New Roman" w:eastAsia="Times New Roman" w:hAnsi="Times New Roman"/>
          <w:b w:val="false"/>
          <w:bCs w:val="false"/>
          <w:i/>
          <w:iCs/>
          <w:sz w:val="22"/>
          <w:szCs w:val="22"/>
        </w:rPr>
        <w:t xml:space="preserve">vorab per beA</w:t>
      </w:r>
    </w:p>
    <w:p>
      <w:pPr>
        <w:spacing w:after="200" w:before="0" w:line="300"/>
        <w:jc w:val="right"/>
      </w:pPr>
      <w:r>
        <w:rPr>
          <w:rFonts w:ascii="Times New Roman" w:cs="Times New Roman" w:eastAsia="Times New Roman" w:hAnsi="Times New Roman"/>
          <w:b w:val="false"/>
          <w:bCs w:val="false"/>
          <w:i w:val="false"/>
          <w:iCs w:val="false"/>
          <w:sz w:val="22"/>
          <w:szCs w:val="22"/>
          <w:highlight w:val="yellow"/>
          <w:highlightCs w:val="yellow"/>
        </w:rPr>
        <w:t xml:space="preserve">[Ort, Datum]</w:t>
      </w:r>
    </w:p>
    <w:p>
      <w:pPr>
        <w:spacing w:after="240"/>
        <w:jc w:val="center"/>
      </w:pPr>
      <w:r>
        <w:rPr>
          <w:rFonts w:ascii="Times New Roman" w:cs="Times New Roman" w:eastAsia="Times New Roman" w:hAnsi="Times New Roman"/>
          <w:b/>
          <w:bCs/>
          <w:sz w:val="32"/>
          <w:szCs w:val="32"/>
        </w:rPr>
        <w:t xml:space="preserve">KLAGE</w:t>
      </w:r>
    </w:p>
    <w:p>
      <w:pPr>
        <w:spacing w:after="20" w:before="0" w:line="300"/>
        <w:jc w:val="left"/>
      </w:pPr>
      <w:r>
        <w:rPr>
          <w:rFonts w:ascii="Times New Roman" w:cs="Times New Roman" w:eastAsia="Times New Roman" w:hAnsi="Times New Roman"/>
          <w:sz w:val="22"/>
          <w:szCs w:val="22"/>
        </w:rPr>
        <w:t xml:space="preserve">des Herrn </w:t>
      </w:r>
      <w:r>
        <w:rPr>
          <w:rFonts w:ascii="Times New Roman" w:cs="Times New Roman" w:eastAsia="Times New Roman" w:hAnsi="Times New Roman"/>
          <w:b/>
          <w:bCs/>
          <w:i w:val="false"/>
          <w:iCs w:val="false"/>
          <w:sz w:val="22"/>
          <w:szCs w:val="22"/>
        </w:rPr>
        <w:t xml:space="preserve">Dr. Artiom Kovnatsky</w:t>
      </w:r>
      <w:r>
        <w:rPr>
          <w:rFonts w:ascii="Times New Roman" w:cs="Times New Roman" w:eastAsia="Times New Roman" w:hAnsi="Times New Roman"/>
          <w:sz w:val="22"/>
          <w:szCs w:val="22"/>
        </w:rPr>
        <w:t xml:space="preserve">, Dahlmannstraße 17, 10629 Berlin,</w:t>
      </w:r>
    </w:p>
    <w:p>
      <w:pPr>
        <w:spacing w:after="60" w:before="0" w:line="300"/>
        <w:jc w:val="right"/>
      </w:pPr>
      <w:r>
        <w:rPr>
          <w:rFonts w:ascii="Times New Roman" w:cs="Times New Roman" w:eastAsia="Times New Roman" w:hAnsi="Times New Roman"/>
          <w:b w:val="false"/>
          <w:bCs w:val="false"/>
          <w:i/>
          <w:iCs/>
          <w:sz w:val="22"/>
          <w:szCs w:val="22"/>
        </w:rPr>
        <w:t xml:space="preserve">– Kläger –</w:t>
      </w:r>
    </w:p>
    <w:p>
      <w:pPr>
        <w:spacing w:after="160" w:before="0" w:line="300"/>
        <w:jc w:val="left"/>
      </w:pPr>
      <w:r>
        <w:rPr>
          <w:rFonts w:ascii="Times New Roman" w:cs="Times New Roman" w:eastAsia="Times New Roman" w:hAnsi="Times New Roman"/>
          <w:sz w:val="22"/>
          <w:szCs w:val="22"/>
        </w:rPr>
        <w:t xml:space="preserve">Prozessbevollmächtigte: </w:t>
      </w:r>
      <w:r>
        <w:rPr>
          <w:rFonts w:ascii="Times New Roman" w:cs="Times New Roman" w:eastAsia="Times New Roman" w:hAnsi="Times New Roman"/>
          <w:b w:val="false"/>
          <w:bCs w:val="false"/>
          <w:i w:val="false"/>
          <w:iCs w:val="false"/>
          <w:sz w:val="22"/>
          <w:szCs w:val="22"/>
          <w:highlight w:val="yellow"/>
          <w:highlightCs w:val="yellow"/>
        </w:rPr>
        <w:t xml:space="preserve">[Name und Anschrift der Kanzlei]</w:t>
      </w:r>
      <w:r>
        <w:rPr>
          <w:rFonts w:ascii="Times New Roman" w:cs="Times New Roman" w:eastAsia="Times New Roman" w:hAnsi="Times New Roman"/>
          <w:sz w:val="22"/>
          <w:szCs w:val="22"/>
        </w:rPr>
        <w:t xml:space="preserve">,</w:t>
      </w:r>
    </w:p>
    <w:p>
      <w:pPr>
        <w:spacing w:after="160" w:before="0" w:line="300"/>
        <w:jc w:val="center"/>
      </w:pPr>
      <w:r>
        <w:rPr>
          <w:rFonts w:ascii="Times New Roman" w:cs="Times New Roman" w:eastAsia="Times New Roman" w:hAnsi="Times New Roman"/>
          <w:b/>
          <w:bCs/>
          <w:i w:val="false"/>
          <w:iCs w:val="false"/>
          <w:sz w:val="22"/>
          <w:szCs w:val="22"/>
        </w:rPr>
        <w:t xml:space="preserve">gegen</w:t>
      </w:r>
    </w:p>
    <w:p>
      <w:pPr>
        <w:spacing w:after="20" w:before="0" w:line="300"/>
        <w:jc w:val="left"/>
      </w:pPr>
      <w:r>
        <w:rPr>
          <w:rFonts w:ascii="Times New Roman" w:cs="Times New Roman" w:eastAsia="Times New Roman" w:hAnsi="Times New Roman"/>
          <w:sz w:val="22"/>
          <w:szCs w:val="22"/>
        </w:rPr>
        <w:t xml:space="preserve">die </w:t>
      </w:r>
      <w:r>
        <w:rPr>
          <w:rFonts w:ascii="Times New Roman" w:cs="Times New Roman" w:eastAsia="Times New Roman" w:hAnsi="Times New Roman"/>
          <w:b/>
          <w:bCs/>
          <w:i w:val="false"/>
          <w:iCs w:val="false"/>
          <w:sz w:val="22"/>
          <w:szCs w:val="22"/>
        </w:rPr>
        <w:t xml:space="preserve">Becker &amp; Kries Grundstücks GmbH &amp; Co. KG</w:t>
      </w:r>
      <w:r>
        <w:rPr>
          <w:rFonts w:ascii="Times New Roman" w:cs="Times New Roman" w:eastAsia="Times New Roman" w:hAnsi="Times New Roman"/>
          <w:sz w:val="22"/>
          <w:szCs w:val="22"/>
        </w:rPr>
        <w:t xml:space="preserve">, vertreten durch ihre persönlich haftende Gesellschafterin, die </w:t>
      </w:r>
      <w:r>
        <w:rPr>
          <w:rFonts w:ascii="Times New Roman" w:cs="Times New Roman" w:eastAsia="Times New Roman" w:hAnsi="Times New Roman"/>
          <w:b w:val="false"/>
          <w:bCs w:val="false"/>
          <w:i w:val="false"/>
          <w:iCs w:val="false"/>
          <w:sz w:val="22"/>
          <w:szCs w:val="22"/>
          <w:highlight w:val="yellow"/>
          <w:highlightCs w:val="yellow"/>
        </w:rPr>
        <w:t xml:space="preserve">[Komplementär-GmbH lt. Handelsregister]</w:t>
      </w:r>
      <w:r>
        <w:rPr>
          <w:rFonts w:ascii="Times New Roman" w:cs="Times New Roman" w:eastAsia="Times New Roman" w:hAnsi="Times New Roman"/>
          <w:sz w:val="22"/>
          <w:szCs w:val="22"/>
        </w:rPr>
        <w:t xml:space="preserve">, diese vertreten durch ihre Geschäftsführer </w:t>
      </w:r>
      <w:r>
        <w:rPr>
          <w:rFonts w:ascii="Times New Roman" w:cs="Times New Roman" w:eastAsia="Times New Roman" w:hAnsi="Times New Roman"/>
          <w:b w:val="false"/>
          <w:bCs w:val="false"/>
          <w:i w:val="false"/>
          <w:iCs w:val="false"/>
          <w:sz w:val="22"/>
          <w:szCs w:val="22"/>
          <w:highlight w:val="yellow"/>
          <w:highlightCs w:val="yellow"/>
        </w:rPr>
        <w:t xml:space="preserve">[Namen lt. Handelsregister]</w:t>
      </w:r>
      <w:r>
        <w:rPr>
          <w:rFonts w:ascii="Times New Roman" w:cs="Times New Roman" w:eastAsia="Times New Roman" w:hAnsi="Times New Roman"/>
          <w:sz w:val="22"/>
          <w:szCs w:val="22"/>
        </w:rPr>
        <w:t xml:space="preserve">, Meinekestraße 25, 10719 Berlin,</w:t>
      </w:r>
    </w:p>
    <w:p>
      <w:pPr>
        <w:spacing w:after="160" w:before="0" w:line="300"/>
        <w:jc w:val="right"/>
      </w:pPr>
      <w:r>
        <w:rPr>
          <w:rFonts w:ascii="Times New Roman" w:cs="Times New Roman" w:eastAsia="Times New Roman" w:hAnsi="Times New Roman"/>
          <w:b w:val="false"/>
          <w:bCs w:val="false"/>
          <w:i/>
          <w:iCs/>
          <w:sz w:val="22"/>
          <w:szCs w:val="22"/>
        </w:rPr>
        <w:t xml:space="preserve">– Beklagte –</w:t>
      </w:r>
    </w:p>
    <w:p>
      <w:pPr>
        <w:spacing w:after="40" w:before="0" w:line="300"/>
        <w:jc w:val="left"/>
      </w:pPr>
      <w:r>
        <w:rPr>
          <w:rFonts w:ascii="Times New Roman" w:cs="Times New Roman" w:eastAsia="Times New Roman" w:hAnsi="Times New Roman"/>
          <w:b/>
          <w:bCs/>
          <w:i w:val="false"/>
          <w:iCs w:val="false"/>
          <w:sz w:val="22"/>
          <w:szCs w:val="22"/>
        </w:rPr>
        <w:t xml:space="preserve">wegen:</w:t>
      </w:r>
      <w:r>
        <w:rPr>
          <w:rFonts w:ascii="Times New Roman" w:cs="Times New Roman" w:eastAsia="Times New Roman" w:hAnsi="Times New Roman"/>
          <w:sz w:val="22"/>
          <w:szCs w:val="22"/>
        </w:rPr>
        <w:t xml:space="preserve"> negativer Feststellung, Zahlung, Auskunft und Feststellung (Wohnraummiete)</w:t>
      </w:r>
    </w:p>
    <w:p>
      <w:pPr>
        <w:spacing w:after="200" w:before="0" w:line="300"/>
        <w:jc w:val="left"/>
      </w:pPr>
      <w:r>
        <w:rPr>
          <w:rFonts w:ascii="Times New Roman" w:cs="Times New Roman" w:eastAsia="Times New Roman" w:hAnsi="Times New Roman"/>
          <w:b/>
          <w:bCs/>
          <w:i w:val="false"/>
          <w:iCs w:val="false"/>
          <w:sz w:val="22"/>
          <w:szCs w:val="22"/>
        </w:rPr>
        <w:t xml:space="preserve">Vorläufiger Streitwert:</w:t>
      </w:r>
      <w:r>
        <w:rPr>
          <w:rFonts w:ascii="Times New Roman" w:cs="Times New Roman" w:eastAsia="Times New Roman" w:hAnsi="Times New Roman"/>
          <w:sz w:val="22"/>
          <w:szCs w:val="22"/>
        </w:rPr>
        <w:t xml:space="preserve"> ca. 13.000,00 € (Zusammensetzung: siehe interne Anmerkung Nr. 14)</w:t>
      </w:r>
    </w:p>
    <w:tbl>
      <w:tblPr>
        <w:tblW w:type="dxa" w:w="9026"/>
        <w:tblBorders>
          <w:top w:val="single" w:color="C0392B" w:sz="4"/>
          <w:left w:val="single" w:color="C0392B" w:sz="4"/>
          <w:bottom w:val="single" w:color="C0392B" w:sz="4"/>
          <w:right w:val="single" w:color="C0392B" w:sz="4"/>
          <w:insideH w:val="single" w:color="C0392B" w:sz="4"/>
          <w:insideV w:val="single" w:color="C0392B" w:sz="4"/>
        </w:tblBorders>
      </w:tblPr>
      <w:tblGrid>
        <w:gridCol w:w="9026"/>
      </w:tblGrid>
      <w:tr>
        <w:tc>
          <w:tcPr>
            <w:tcW w:type="dxa" w:w="9026"/>
            <w:shd w:fill="FDEDEC" w:val="clear"/>
            <w:tcMar>
              <w:top w:type="dxa" w:w="120"/>
              <w:left w:type="dxa" w:w="160"/>
              <w:bottom w:type="dxa" w:w="120"/>
              <w:right w:type="dxa" w:w="160"/>
            </w:tcMar>
          </w:tcPr>
          <w:p>
            <w:pPr>
              <w:spacing w:after="0" w:line="280"/>
              <w:jc w:val="both"/>
            </w:pPr>
            <w:r>
              <w:rPr>
                <w:rFonts w:ascii="Times New Roman" w:cs="Times New Roman" w:eastAsia="Times New Roman" w:hAnsi="Times New Roman"/>
                <w:b/>
                <w:bCs/>
                <w:sz w:val="20"/>
                <w:szCs w:val="20"/>
              </w:rPr>
              <w:t xml:space="preserve">Interne Anmerkung zum Rubrum: </w:t>
            </w:r>
            <w:r>
              <w:rPr>
                <w:rFonts w:ascii="Times New Roman" w:cs="Times New Roman" w:eastAsia="Times New Roman" w:hAnsi="Times New Roman"/>
                <w:sz w:val="20"/>
                <w:szCs w:val="20"/>
              </w:rPr>
              <w:t xml:space="preserve">Passivrubrum zwingend anhand aktueller Handelsregisterauszüge sowie Mietvertrag und Nachtrag vom 28.03.2019 verifizieren. Kernfrage: Ist Vermieterin die Grundstücks-KG (Eigentümerin) oder die Becker &amp; Kries Immobilien Management GmbH? Siehe interne Anmerkungen Nr. 1 am Ende des Dokuments.</w:t>
            </w:r>
          </w:p>
        </w:tc>
      </w:tr>
    </w:tbl>
    <w:p>
      <w:pPr>
        <w:spacing w:after="160"/>
      </w:pPr>
    </w:p>
    <w:p>
      <w:pPr>
        <w:spacing w:after="160" w:before="0" w:line="300"/>
        <w:jc w:val="both"/>
      </w:pPr>
      <w:r>
        <w:rPr>
          <w:rFonts w:ascii="Times New Roman" w:cs="Times New Roman" w:eastAsia="Times New Roman" w:hAnsi="Times New Roman"/>
          <w:sz w:val="22"/>
          <w:szCs w:val="22"/>
        </w:rPr>
        <w:t xml:space="preserve">Namens und in Vollmacht des Klägers erheben wir Klage. Wir werden beantragen, wie folgt zu erkennen:</w:t>
      </w:r>
    </w:p>
    <w:p>
      <w:pPr>
        <w:spacing w:after="160" w:before="320"/>
        <w:jc w:val="left"/>
      </w:pPr>
      <w:r>
        <w:rPr>
          <w:rFonts w:ascii="Times New Roman" w:cs="Times New Roman" w:eastAsia="Times New Roman" w:hAnsi="Times New Roman"/>
          <w:b/>
          <w:bCs/>
          <w:sz w:val="26"/>
          <w:szCs w:val="26"/>
        </w:rPr>
        <w:t xml:space="preserve">ANTRÄGE</w:t>
      </w:r>
    </w:p>
    <w:p>
      <w:pPr>
        <w:spacing w:after="120" w:before="0" w:line="300"/>
        <w:jc w:val="both"/>
      </w:pPr>
      <w:r>
        <w:rPr>
          <w:rFonts w:ascii="Times New Roman" w:cs="Times New Roman" w:eastAsia="Times New Roman" w:hAnsi="Times New Roman"/>
          <w:b/>
          <w:bCs/>
          <w:i w:val="false"/>
          <w:iCs w:val="false"/>
          <w:sz w:val="22"/>
          <w:szCs w:val="22"/>
        </w:rPr>
        <w:t xml:space="preserve">I.  </w:t>
      </w:r>
      <w:r>
        <w:rPr>
          <w:rFonts w:ascii="Times New Roman" w:cs="Times New Roman" w:eastAsia="Times New Roman" w:hAnsi="Times New Roman"/>
          <w:sz w:val="22"/>
          <w:szCs w:val="22"/>
        </w:rPr>
        <w:t xml:space="preserve">Es wird festgestellt, dass der Beklagten gegen den Kläger aus der Betriebs- und Heizkostenabrechnung für den Abrechnungszeitraum 2024 vom </w:t>
      </w:r>
      <w:r>
        <w:rPr>
          <w:rFonts w:ascii="Times New Roman" w:cs="Times New Roman" w:eastAsia="Times New Roman" w:hAnsi="Times New Roman"/>
          <w:b w:val="false"/>
          <w:bCs w:val="false"/>
          <w:i w:val="false"/>
          <w:iCs w:val="false"/>
          <w:sz w:val="22"/>
          <w:szCs w:val="22"/>
          <w:highlight w:val="yellow"/>
          <w:highlightCs w:val="yellow"/>
        </w:rPr>
        <w:t xml:space="preserve">[Datum der Abrechnung]</w:t>
      </w:r>
      <w:r>
        <w:rPr>
          <w:rFonts w:ascii="Times New Roman" w:cs="Times New Roman" w:eastAsia="Times New Roman" w:hAnsi="Times New Roman"/>
          <w:sz w:val="22"/>
          <w:szCs w:val="22"/>
        </w:rPr>
        <w:t xml:space="preserve"> (Abrechnungs-Nr. 2025/2220/12704/2503-1-106/BK/01) kein Anspruch auf Nachzahlung in Höhe von 3.344,04 € zusteht, auch nicht in Höhe des mit Mahnung vom 29.05.2026 geforderten Betrages von 3.313,39 €.</w:t>
      </w:r>
    </w:p>
    <w:p>
      <w:pPr>
        <w:spacing w:after="120" w:before="0" w:line="300"/>
        <w:jc w:val="both"/>
      </w:pPr>
      <w:r>
        <w:rPr>
          <w:rFonts w:ascii="Times New Roman" w:cs="Times New Roman" w:eastAsia="Times New Roman" w:hAnsi="Times New Roman"/>
          <w:b/>
          <w:bCs/>
          <w:i w:val="false"/>
          <w:iCs w:val="false"/>
          <w:sz w:val="22"/>
          <w:szCs w:val="22"/>
        </w:rPr>
        <w:t xml:space="preserve">II.  </w:t>
      </w:r>
      <w:r>
        <w:rPr>
          <w:rFonts w:ascii="Times New Roman" w:cs="Times New Roman" w:eastAsia="Times New Roman" w:hAnsi="Times New Roman"/>
          <w:sz w:val="22"/>
          <w:szCs w:val="22"/>
        </w:rPr>
        <w:t xml:space="preserve">Die Beklagte wird verurteilt, an den Kläger 3.174,52 € nebst Zinsen in Höhe von fünf Prozentpunkten über dem Basiszinssatz aus 1.674,52 € seit dem </w:t>
      </w:r>
      <w:r>
        <w:rPr>
          <w:rFonts w:ascii="Times New Roman" w:cs="Times New Roman" w:eastAsia="Times New Roman" w:hAnsi="Times New Roman"/>
          <w:b w:val="false"/>
          <w:bCs w:val="false"/>
          <w:i w:val="false"/>
          <w:iCs w:val="false"/>
          <w:sz w:val="22"/>
          <w:szCs w:val="22"/>
          <w:highlight w:val="yellow"/>
          <w:highlightCs w:val="yellow"/>
        </w:rPr>
        <w:t xml:space="preserve">[Datum des Rückforderungsschreibens; hilfsweise: seit Rechtshängigkeit]</w:t>
      </w:r>
      <w:r>
        <w:rPr>
          <w:rFonts w:ascii="Times New Roman" w:cs="Times New Roman" w:eastAsia="Times New Roman" w:hAnsi="Times New Roman"/>
          <w:sz w:val="22"/>
          <w:szCs w:val="22"/>
        </w:rPr>
        <w:t xml:space="preserve"> und aus weiteren 1.500,00 € seit Rechtshängigkeit zu zahlen.</w:t>
      </w:r>
    </w:p>
    <w:p>
      <w:pPr>
        <w:spacing w:after="120" w:before="0" w:line="300"/>
        <w:jc w:val="both"/>
      </w:pPr>
      <w:r>
        <w:rPr>
          <w:rFonts w:ascii="Times New Roman" w:cs="Times New Roman" w:eastAsia="Times New Roman" w:hAnsi="Times New Roman"/>
          <w:b/>
          <w:bCs/>
          <w:i w:val="false"/>
          <w:iCs w:val="false"/>
          <w:sz w:val="22"/>
          <w:szCs w:val="22"/>
        </w:rPr>
        <w:t xml:space="preserve">III.  </w:t>
      </w:r>
      <w:r>
        <w:rPr>
          <w:rFonts w:ascii="Times New Roman" w:cs="Times New Roman" w:eastAsia="Times New Roman" w:hAnsi="Times New Roman"/>
          <w:sz w:val="22"/>
          <w:szCs w:val="22"/>
        </w:rPr>
        <w:t xml:space="preserve">Es wird festgestellt, dass der Kläger nicht verpflichtet ist, der mit Schreiben der Beklagten vom 26.06.2026 verlangten Erhöhung der monatlichen Nettokaltmiete für die Wohnung Dahlmannstraße 17, 10629 Berlin, </w:t>
      </w:r>
      <w:r>
        <w:rPr>
          <w:rFonts w:ascii="Times New Roman" w:cs="Times New Roman" w:eastAsia="Times New Roman" w:hAnsi="Times New Roman"/>
          <w:b w:val="false"/>
          <w:bCs w:val="false"/>
          <w:i w:val="false"/>
          <w:iCs w:val="false"/>
          <w:sz w:val="22"/>
          <w:szCs w:val="22"/>
          <w:highlight w:val="yellow"/>
          <w:highlightCs w:val="yellow"/>
        </w:rPr>
        <w:t xml:space="preserve">[genaue Lagebezeichnung / Nutzeinheit NE07]</w:t>
      </w:r>
      <w:r>
        <w:rPr>
          <w:rFonts w:ascii="Times New Roman" w:cs="Times New Roman" w:eastAsia="Times New Roman" w:hAnsi="Times New Roman"/>
          <w:sz w:val="22"/>
          <w:szCs w:val="22"/>
        </w:rPr>
        <w:t xml:space="preserve">, von 947,00 € um 96,87 € auf 1.043,87 € zuzustimmen.</w:t>
      </w:r>
    </w:p>
    <w:p>
      <w:pPr>
        <w:spacing w:after="120" w:before="0" w:line="300"/>
        <w:jc w:val="both"/>
      </w:pPr>
      <w:r>
        <w:rPr>
          <w:rFonts w:ascii="Times New Roman" w:cs="Times New Roman" w:eastAsia="Times New Roman" w:hAnsi="Times New Roman"/>
          <w:b/>
          <w:bCs/>
          <w:i w:val="false"/>
          <w:iCs w:val="false"/>
          <w:sz w:val="22"/>
          <w:szCs w:val="22"/>
        </w:rPr>
        <w:t xml:space="preserve">IV.  </w:t>
      </w:r>
      <w:r>
        <w:rPr>
          <w:rFonts w:ascii="Times New Roman" w:cs="Times New Roman" w:eastAsia="Times New Roman" w:hAnsi="Times New Roman"/>
          <w:sz w:val="22"/>
          <w:szCs w:val="22"/>
        </w:rPr>
        <w:t xml:space="preserve">Im Wege der Stufenklage (§ 254 ZPO) wird die Beklagte verurteilt,</w:t>
      </w:r>
    </w:p>
    <w:p>
      <w:pPr>
        <w:spacing w:after="120" w:before="0" w:line="300"/>
        <w:ind w:left="567"/>
        <w:jc w:val="both"/>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sz w:val="22"/>
          <w:szCs w:val="22"/>
        </w:rPr>
        <w:t xml:space="preserve">dem Kläger Auskunft über diejenigen Tatsachen zu erteilen, die für die Zulässigkeit der bei Beginn des Mietverhältnisses am 01.10.2017 vereinbarten Miete nach den §§ 556d bis 556g BGB maßgeblich sind, insbesondere</w:t>
      </w:r>
    </w:p>
    <w:p>
      <w:pPr>
        <w:spacing w:after="120" w:before="0" w:line="300"/>
        <w:ind w:left="1134"/>
        <w:jc w:val="both"/>
      </w:pPr>
      <w:r>
        <w:rPr>
          <w:rFonts w:ascii="Times New Roman" w:cs="Times New Roman" w:eastAsia="Times New Roman" w:hAnsi="Times New Roman"/>
          <w:sz w:val="22"/>
          <w:szCs w:val="22"/>
        </w:rPr>
        <w:t xml:space="preserve">a)  über die Höhe der Vormiete, d. h. der Miete, die der vorherige Mieter zuletzt – ein Jahr vor Beendigung des vorherigen Mietverhältnisses – geschuldet hat (§ 556e Abs. 1 BGB),</w:t>
      </w:r>
    </w:p>
    <w:p>
      <w:pPr>
        <w:spacing w:after="120" w:before="0" w:line="300"/>
        <w:ind w:left="1134"/>
        <w:jc w:val="both"/>
      </w:pPr>
      <w:r>
        <w:rPr>
          <w:rFonts w:ascii="Times New Roman" w:cs="Times New Roman" w:eastAsia="Times New Roman" w:hAnsi="Times New Roman"/>
          <w:sz w:val="22"/>
          <w:szCs w:val="22"/>
        </w:rPr>
        <w:t xml:space="preserve">b)  darüber, ob und ggf. welche Modernisierungsmaßnahmen im Sinne des § 555b BGB in den letzten drei Jahren vor Beginn des Mietverhältnisses durchgeführt worden sind (§ 556e Abs. 2 BGB),</w:t>
      </w:r>
    </w:p>
    <w:p>
      <w:pPr>
        <w:spacing w:after="120" w:before="0" w:line="300"/>
        <w:ind w:left="1134"/>
        <w:jc w:val="both"/>
      </w:pPr>
      <w:r>
        <w:rPr>
          <w:rFonts w:ascii="Times New Roman" w:cs="Times New Roman" w:eastAsia="Times New Roman" w:hAnsi="Times New Roman"/>
          <w:sz w:val="22"/>
          <w:szCs w:val="22"/>
        </w:rPr>
        <w:t xml:space="preserve">c)  darüber, ob die Wohnung nach dem 01.10.2014 erstmals genutzt und vermietet worden ist (§ 556f Satz 1 BGB) oder ob es sich um die erste Vermietung nach umfassender Modernisierung handelt (§ 556f Satz 2 BGB);</w:t>
      </w:r>
    </w:p>
    <w:p>
      <w:pPr>
        <w:spacing w:after="120" w:before="0" w:line="300"/>
        <w:ind w:left="567"/>
        <w:jc w:val="both"/>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sz w:val="22"/>
          <w:szCs w:val="22"/>
        </w:rPr>
        <w:t xml:space="preserve">erforderlichenfalls die Richtigkeit und Vollständigkeit der erteilten Auskunft an Eides statt zu versichern;</w:t>
      </w:r>
    </w:p>
    <w:p>
      <w:pPr>
        <w:spacing w:after="120" w:before="0" w:line="300"/>
        <w:ind w:left="567"/>
        <w:jc w:val="both"/>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sz w:val="22"/>
          <w:szCs w:val="22"/>
        </w:rPr>
        <w:t xml:space="preserve">nach erteilter Auskunft an den Kläger die seit Zugang der Rüge vom </w:t>
      </w:r>
      <w:r>
        <w:rPr>
          <w:rFonts w:ascii="Times New Roman" w:cs="Times New Roman" w:eastAsia="Times New Roman" w:hAnsi="Times New Roman"/>
          <w:b w:val="false"/>
          <w:bCs w:val="false"/>
          <w:i w:val="false"/>
          <w:iCs w:val="false"/>
          <w:sz w:val="22"/>
          <w:szCs w:val="22"/>
          <w:highlight w:val="yellow"/>
          <w:highlightCs w:val="yellow"/>
        </w:rPr>
        <w:t xml:space="preserve">[Datum der Rüge, Anlage K 14]</w:t>
      </w:r>
      <w:r>
        <w:rPr>
          <w:rFonts w:ascii="Times New Roman" w:cs="Times New Roman" w:eastAsia="Times New Roman" w:hAnsi="Times New Roman"/>
          <w:sz w:val="22"/>
          <w:szCs w:val="22"/>
        </w:rPr>
        <w:t xml:space="preserve"> überzahlte Miete in nach Auskunftserteilung noch zu beziffernder Höhe nebst Zinsen in Höhe von fünf Prozentpunkten über dem Basiszinssatz seit dem jeweiligen Zeitpunkt der Überzahlung sowie den überzahlten Teil der geleisteten Mietsicherheit zurückzuzahlen.</w:t>
      </w:r>
    </w:p>
    <w:p>
      <w:pPr>
        <w:spacing w:after="120" w:before="0" w:line="300"/>
        <w:jc w:val="both"/>
      </w:pPr>
      <w:r>
        <w:rPr>
          <w:rFonts w:ascii="Times New Roman" w:cs="Times New Roman" w:eastAsia="Times New Roman" w:hAnsi="Times New Roman"/>
          <w:b/>
          <w:bCs/>
          <w:i w:val="false"/>
          <w:iCs w:val="false"/>
          <w:sz w:val="22"/>
          <w:szCs w:val="22"/>
        </w:rPr>
        <w:t xml:space="preserve">V.  </w:t>
      </w:r>
      <w:r>
        <w:rPr>
          <w:rFonts w:ascii="Times New Roman" w:cs="Times New Roman" w:eastAsia="Times New Roman" w:hAnsi="Times New Roman"/>
          <w:sz w:val="22"/>
          <w:szCs w:val="22"/>
        </w:rPr>
        <w:t xml:space="preserve">Es wird festgestellt, dass die vom Kläger geschuldete monatliche Nettokaltmiete für die vorbezeichnete Wohnung ab dem auf den Zugang der Rüge vom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folgenden Fälligkeitstermin höchstens </w:t>
      </w:r>
      <w:r>
        <w:rPr>
          <w:rFonts w:ascii="Times New Roman" w:cs="Times New Roman" w:eastAsia="Times New Roman" w:hAnsi="Times New Roman"/>
          <w:b w:val="false"/>
          <w:bCs w:val="false"/>
          <w:i w:val="false"/>
          <w:iCs w:val="false"/>
          <w:sz w:val="22"/>
          <w:szCs w:val="22"/>
          <w:highlight w:val="yellow"/>
          <w:highlightCs w:val="yellow"/>
        </w:rPr>
        <w:t xml:space="preserve">[Betrag lt. Mietspiegel 2017 zzgl. 10 %]</w:t>
      </w:r>
      <w:r>
        <w:rPr>
          <w:rFonts w:ascii="Times New Roman" w:cs="Times New Roman" w:eastAsia="Times New Roman" w:hAnsi="Times New Roman"/>
          <w:sz w:val="22"/>
          <w:szCs w:val="22"/>
        </w:rPr>
        <w:t xml:space="preserve"> € beträgt.</w:t>
      </w:r>
    </w:p>
    <w:p>
      <w:pPr>
        <w:spacing w:after="120" w:before="0" w:line="300"/>
        <w:jc w:val="both"/>
      </w:pPr>
      <w:r>
        <w:rPr>
          <w:rFonts w:ascii="Times New Roman" w:cs="Times New Roman" w:eastAsia="Times New Roman" w:hAnsi="Times New Roman"/>
          <w:b/>
          <w:bCs/>
          <w:i w:val="false"/>
          <w:iCs w:val="false"/>
          <w:sz w:val="22"/>
          <w:szCs w:val="22"/>
        </w:rPr>
        <w:t xml:space="preserve">VI.  </w:t>
      </w:r>
      <w:r>
        <w:rPr>
          <w:rFonts w:ascii="Times New Roman" w:cs="Times New Roman" w:eastAsia="Times New Roman" w:hAnsi="Times New Roman"/>
          <w:sz w:val="22"/>
          <w:szCs w:val="22"/>
        </w:rPr>
        <w:t xml:space="preserve">Die Beklagte wird verurteilt, dem Kläger Einsicht in die den Betriebs- und Heizkostenabrechnungen 2023 und 2024 zugrunde liegenden Abrechnungsunterlagen zu gewähren, insbesondere in die Ablese- und Verbrauchsprotokolle der Erfassungsgeräte der Nutzeinheit NE07, die Dokumentation über Gerätetausch und Gerätezustand des Wärmemengenzählers Nr. </w:t>
      </w:r>
      <w:r>
        <w:rPr>
          <w:rFonts w:ascii="Times New Roman" w:cs="Times New Roman" w:eastAsia="Times New Roman" w:hAnsi="Times New Roman"/>
          <w:b w:val="false"/>
          <w:bCs w:val="false"/>
          <w:i w:val="false"/>
          <w:iCs w:val="false"/>
          <w:sz w:val="22"/>
          <w:szCs w:val="22"/>
          <w:highlight w:val="yellow"/>
          <w:highlightCs w:val="yellow"/>
        </w:rPr>
        <w:t xml:space="preserve">[Gerätenummer]</w:t>
      </w:r>
      <w:r>
        <w:rPr>
          <w:rFonts w:ascii="Times New Roman" w:cs="Times New Roman" w:eastAsia="Times New Roman" w:hAnsi="Times New Roman"/>
          <w:sz w:val="22"/>
          <w:szCs w:val="22"/>
        </w:rPr>
        <w:t xml:space="preserve"> sowie die Nachweise über die Eichung der verwendeten Erfassungsgeräte.</w:t>
      </w:r>
    </w:p>
    <w:p>
      <w:pPr>
        <w:spacing w:after="120" w:before="0" w:line="300"/>
        <w:jc w:val="both"/>
      </w:pPr>
      <w:r>
        <w:rPr>
          <w:rFonts w:ascii="Times New Roman" w:cs="Times New Roman" w:eastAsia="Times New Roman" w:hAnsi="Times New Roman"/>
          <w:b/>
          <w:bCs/>
          <w:i w:val="false"/>
          <w:iCs w:val="false"/>
          <w:sz w:val="22"/>
          <w:szCs w:val="22"/>
        </w:rPr>
        <w:t xml:space="preserve">VII.  </w:t>
      </w:r>
      <w:r>
        <w:rPr>
          <w:rFonts w:ascii="Times New Roman" w:cs="Times New Roman" w:eastAsia="Times New Roman" w:hAnsi="Times New Roman"/>
          <w:sz w:val="22"/>
          <w:szCs w:val="22"/>
        </w:rPr>
        <w:t xml:space="preserve">Die Beklagte trägt die Kosten des Rechtsstreits.</w:t>
      </w:r>
    </w:p>
    <w:p>
      <w:pPr>
        <w:spacing w:after="240" w:before="0" w:line="300"/>
        <w:jc w:val="both"/>
      </w:pPr>
      <w:r>
        <w:rPr>
          <w:rFonts w:ascii="Times New Roman" w:cs="Times New Roman" w:eastAsia="Times New Roman" w:hAnsi="Times New Roman"/>
          <w:sz w:val="22"/>
          <w:szCs w:val="22"/>
        </w:rPr>
        <w:t xml:space="preserve">Ferner wird angeregt, das schriftliche Vorverfahren anzuordnen (§ 276 ZPO). Für den Fall des § 331 Abs. 3 ZPO wird bereits jetzt der Erlass eines Versäumnisurteils beantragt.</w:t>
      </w:r>
    </w:p>
    <w:p>
      <w:pPr>
        <w:spacing w:after="160" w:before="320"/>
        <w:jc w:val="left"/>
      </w:pPr>
      <w:r>
        <w:rPr>
          <w:rFonts w:ascii="Times New Roman" w:cs="Times New Roman" w:eastAsia="Times New Roman" w:hAnsi="Times New Roman"/>
          <w:b/>
          <w:bCs/>
          <w:sz w:val="26"/>
          <w:szCs w:val="26"/>
        </w:rPr>
        <w:t xml:space="preserve">BEGRÜNDUNG</w:t>
      </w:r>
    </w:p>
    <w:p>
      <w:pPr>
        <w:spacing w:after="240" w:before="0" w:line="300"/>
        <w:jc w:val="both"/>
      </w:pPr>
      <w:r>
        <w:rPr>
          <w:rFonts w:ascii="Times New Roman" w:cs="Times New Roman" w:eastAsia="Times New Roman" w:hAnsi="Times New Roman"/>
          <w:b/>
          <w:bCs/>
          <w:i/>
          <w:iCs/>
          <w:sz w:val="22"/>
          <w:szCs w:val="22"/>
        </w:rPr>
        <w:t xml:space="preserve">Kern des Rechtsstreits: </w:t>
      </w:r>
      <w:r>
        <w:rPr>
          <w:rFonts w:ascii="Times New Roman" w:cs="Times New Roman" w:eastAsia="Times New Roman" w:hAnsi="Times New Roman"/>
          <w:b w:val="false"/>
          <w:bCs w:val="false"/>
          <w:i/>
          <w:iCs/>
          <w:sz w:val="22"/>
          <w:szCs w:val="22"/>
        </w:rPr>
        <w:t xml:space="preserve">Die Heizkostenabrechnungen 2023 und 2024 weisen für die Wohnung des Klägers das Acht- bis Dreizehnfache des langjährigen Normalverbrauchs aus. Der Messdienstleister der Beklagten hat den Erfassungsfehler bereits im Februar 2025 schriftlich eingeräumt und eine Berichtigung angeboten – geliefert wurde sie bis heute nicht. Statt zu korrigieren, mahnt die Beklagte die unkorrigierte Forderung an und verlangt zeitgleich eine Mieterhöhung, die auf unzutreffenden Wohnwertmerkmalen beruht. Der Kläger wehrt die unberechtigten Forderungen ab (Anträge I und III), fordert Überzahltes zurück (Antrag II) und unterzieht das Mietverhältnis zugleich der gesetzlichen Kontrolle nach der Mietpreisbremse (Anträge IV und V).</w:t>
      </w:r>
    </w:p>
    <w:p>
      <w:pPr>
        <w:spacing w:after="140" w:before="260"/>
        <w:jc w:val="left"/>
      </w:pPr>
      <w:r>
        <w:rPr>
          <w:rFonts w:ascii="Times New Roman" w:cs="Times New Roman" w:eastAsia="Times New Roman" w:hAnsi="Times New Roman"/>
          <w:b/>
          <w:bCs/>
          <w:sz w:val="23"/>
          <w:szCs w:val="23"/>
        </w:rPr>
        <w:t xml:space="preserve">A.  Sachverhalt</w:t>
      </w:r>
    </w:p>
    <w:p>
      <w:pPr>
        <w:spacing w:after="100" w:before="200"/>
      </w:pPr>
      <w:r>
        <w:rPr>
          <w:rFonts w:ascii="Times New Roman" w:cs="Times New Roman" w:eastAsia="Times New Roman" w:hAnsi="Times New Roman"/>
          <w:b/>
          <w:bCs/>
          <w:sz w:val="22"/>
          <w:szCs w:val="22"/>
        </w:rPr>
        <w:t xml:space="preserve">I.  Mietverhältnis</w:t>
      </w:r>
    </w:p>
    <w:p>
      <w:pPr>
        <w:spacing w:after="120" w:before="0" w:line="300"/>
        <w:jc w:val="both"/>
      </w:pPr>
      <w:r>
        <w:rPr>
          <w:rFonts w:ascii="Times New Roman" w:cs="Times New Roman" w:eastAsia="Times New Roman" w:hAnsi="Times New Roman"/>
          <w:sz w:val="22"/>
          <w:szCs w:val="22"/>
        </w:rPr>
        <w:t xml:space="preserve">Der Kläger ist seit dem 01.10.2017 Mieter der Wohnung im Objekt Dahlmannstraße 17, 10629 Berlin (Maisonette über zwei Etagen, Nutzeinheit NE07, Wohnfläche ca. </w:t>
      </w:r>
      <w:r>
        <w:rPr>
          <w:rFonts w:ascii="Times New Roman" w:cs="Times New Roman" w:eastAsia="Times New Roman" w:hAnsi="Times New Roman"/>
          <w:b w:val="false"/>
          <w:bCs w:val="false"/>
          <w:i w:val="false"/>
          <w:iCs w:val="false"/>
          <w:sz w:val="22"/>
          <w:szCs w:val="22"/>
          <w:highlight w:val="yellow"/>
          <w:highlightCs w:val="yellow"/>
        </w:rPr>
        <w:t xml:space="preserve">[88,84 m² – lt. Mietvertrag verifizieren]</w:t>
      </w:r>
      <w:r>
        <w:rPr>
          <w:rFonts w:ascii="Times New Roman" w:cs="Times New Roman" w:eastAsia="Times New Roman" w:hAnsi="Times New Roman"/>
          <w:sz w:val="22"/>
          <w:szCs w:val="22"/>
        </w:rPr>
        <w:t xml:space="preserve">). Die monatliche Nettokaltmiete beträgt 947,00 € (entspricht ca. 10,66 €/m²); hinzu kommen Vorauszahlungen auf die Betriebskosten in Höhe von </w:t>
      </w:r>
      <w:r>
        <w:rPr>
          <w:rFonts w:ascii="Times New Roman" w:cs="Times New Roman" w:eastAsia="Times New Roman" w:hAnsi="Times New Roman"/>
          <w:b w:val="false"/>
          <w:bCs w:val="false"/>
          <w:i w:val="false"/>
          <w:iCs w:val="false"/>
          <w:sz w:val="22"/>
          <w:szCs w:val="22"/>
          <w:highlight w:val="yellow"/>
          <w:highlightCs w:val="yellow"/>
        </w:rPr>
        <w:t xml:space="preserve">[Betrag]</w:t>
      </w:r>
      <w:r>
        <w:rPr>
          <w:rFonts w:ascii="Times New Roman" w:cs="Times New Roman" w:eastAsia="Times New Roman" w:hAnsi="Times New Roman"/>
          <w:sz w:val="22"/>
          <w:szCs w:val="22"/>
        </w:rPr>
        <w:t xml:space="preserve"> € sowie auf die Heizkosten in Höhe von zuletzt 450,00 € monatlich. Am 28.03.2019 wurde ein Nachtrag zum Mietvertrag geschlossen; als Vertragspartnerin ist dort die Becker &amp; Kries Immobilien Management GmbH ausgewiesen </w:t>
      </w:r>
      <w:r>
        <w:rPr>
          <w:rFonts w:ascii="Times New Roman" w:cs="Times New Roman" w:eastAsia="Times New Roman" w:hAnsi="Times New Roman"/>
          <w:b w:val="false"/>
          <w:bCs w:val="false"/>
          <w:i w:val="false"/>
          <w:iCs w:val="false"/>
          <w:sz w:val="22"/>
          <w:szCs w:val="22"/>
          <w:highlight w:val="yellow"/>
          <w:highlightCs w:val="yellow"/>
        </w:rPr>
        <w:t xml:space="preserve">[verifizieren]</w:t>
      </w:r>
      <w:r>
        <w:rPr>
          <w:rFonts w:ascii="Times New Roman" w:cs="Times New Roman" w:eastAsia="Times New Roman" w:hAnsi="Times New Roman"/>
          <w:sz w:val="22"/>
          <w:szCs w:val="22"/>
        </w:rPr>
        <w:t xml:space="preserve">. Bei Mietbeginn leistete der Kläger eine Mietsicherheit in Höhe von </w:t>
      </w:r>
      <w:r>
        <w:rPr>
          <w:rFonts w:ascii="Times New Roman" w:cs="Times New Roman" w:eastAsia="Times New Roman" w:hAnsi="Times New Roman"/>
          <w:b w:val="false"/>
          <w:bCs w:val="false"/>
          <w:i w:val="false"/>
          <w:iCs w:val="false"/>
          <w:sz w:val="22"/>
          <w:szCs w:val="22"/>
          <w:highlight w:val="yellow"/>
          <w:highlightCs w:val="yellow"/>
        </w:rPr>
        <w:t xml:space="preserve">[Betrag, i. d. R. drei Nettokaltmieten]</w:t>
      </w:r>
      <w:r>
        <w:rPr>
          <w:rFonts w:ascii="Times New Roman" w:cs="Times New Roman" w:eastAsia="Times New Roman" w:hAnsi="Times New Roman"/>
          <w:sz w:val="22"/>
          <w:szCs w:val="22"/>
        </w:rPr>
        <w:t xml:space="preserve"> €.</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Mietvertrag vom </w:t>
      </w:r>
      <w:r>
        <w:rPr>
          <w:rFonts w:ascii="Times New Roman" w:cs="Times New Roman" w:eastAsia="Times New Roman" w:hAnsi="Times New Roman"/>
          <w:i/>
          <w:iCs/>
          <w:sz w:val="20"/>
          <w:szCs w:val="20"/>
          <w:highlight w:val="yellow"/>
          <w:highlightCs w:val="yellow"/>
        </w:rPr>
        <w:t xml:space="preserve">[Datum]</w:t>
      </w:r>
      <w:r>
        <w:rPr>
          <w:rFonts w:ascii="Times New Roman" w:cs="Times New Roman" w:eastAsia="Times New Roman" w:hAnsi="Times New Roman"/>
          <w:i/>
          <w:iCs/>
          <w:sz w:val="20"/>
          <w:szCs w:val="20"/>
        </w:rPr>
        <w:t xml:space="preserve"> – Anlage K 1;  Nachtrag vom 28.03.2019 – Anlage K 2</w:t>
      </w:r>
    </w:p>
    <w:p>
      <w:pPr>
        <w:spacing w:after="100" w:before="200"/>
      </w:pPr>
      <w:r>
        <w:rPr>
          <w:rFonts w:ascii="Times New Roman" w:cs="Times New Roman" w:eastAsia="Times New Roman" w:hAnsi="Times New Roman"/>
          <w:b/>
          <w:bCs/>
          <w:sz w:val="22"/>
          <w:szCs w:val="22"/>
        </w:rPr>
        <w:t xml:space="preserve">II.  Verbrauchshistorie: stabiler Normalbetrieb 2019–2022, Explosion ab 2023</w:t>
      </w:r>
    </w:p>
    <w:p>
      <w:pPr>
        <w:spacing w:after="120" w:before="0" w:line="300"/>
        <w:jc w:val="both"/>
      </w:pPr>
      <w:r>
        <w:rPr>
          <w:rFonts w:ascii="Times New Roman" w:cs="Times New Roman" w:eastAsia="Times New Roman" w:hAnsi="Times New Roman"/>
          <w:sz w:val="22"/>
          <w:szCs w:val="22"/>
        </w:rPr>
        <w:t xml:space="preserve">Bis einschließlich 2022 bewegte sich der Heizverbrauch der Wohnung stabil zwischen 5.250 und 9.530 kWh pro Jahr (Durchschnitt 2019–2022: 8.278 kWh). Ab dem Abrechnungsjahr 2023 weisen die Abrechnungen der Beklagten schlagartig das Acht- bis Dreizehnfache aus – ohne dass sich das Nutzungsverhalten des Klägers, die Personenzahl im Haushalt oder die Wohnverhältnisse geändert hätten:</w:t>
      </w:r>
    </w:p>
    <w:tbl>
      <w:tblPr>
        <w:tblW w:type="dxa" w:w="9026"/>
        <w:tblBorders>
          <w:top w:val="single" w:color="9AA0A6" w:sz="4"/>
          <w:left w:val="single" w:color="9AA0A6" w:sz="4"/>
          <w:bottom w:val="single" w:color="9AA0A6" w:sz="4"/>
          <w:right w:val="single" w:color="9AA0A6" w:sz="4"/>
          <w:insideH w:val="single" w:color="9AA0A6" w:sz="4"/>
          <w:insideV w:val="single" w:color="9AA0A6" w:sz="4"/>
        </w:tblBorders>
      </w:tblPr>
      <w:tblGrid>
        <w:gridCol w:w="950"/>
        <w:gridCol w:w="1650"/>
        <w:gridCol w:w="1750"/>
        <w:gridCol w:w="2050"/>
        <w:gridCol w:w="2626"/>
      </w:tblGrid>
      <w:tr>
        <w:trPr>
          <w:tblHeader/>
        </w:trPr>
        <w:tc>
          <w:tcPr>
            <w:tcW w:type="dxa" w:w="95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Jahr</w:t>
            </w:r>
          </w:p>
        </w:tc>
        <w:tc>
          <w:tcPr>
            <w:tcW w:type="dxa" w:w="1650"/>
            <w:shd w:fill="E8EAED"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Verbrauch (kWh)</w:t>
            </w:r>
          </w:p>
        </w:tc>
        <w:tc>
          <w:tcPr>
            <w:tcW w:type="dxa" w:w="1750"/>
            <w:shd w:fill="E8EAED"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Heizkosten (€)</w:t>
            </w:r>
          </w:p>
        </w:tc>
        <w:tc>
          <w:tcPr>
            <w:tcW w:type="dxa" w:w="2050"/>
            <w:shd w:fill="E8EAED"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Saldo BK/HK (€)</w:t>
            </w:r>
          </w:p>
        </w:tc>
        <w:tc>
          <w:tcPr>
            <w:tcW w:type="dxa" w:w="2626"/>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Bemerkung</w:t>
            </w:r>
          </w:p>
        </w:tc>
      </w:tr>
      <w:tr>
        <w:tc>
          <w:tcPr>
            <w:tcW w:type="dxa" w:w="9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2019</w:t>
            </w:r>
          </w:p>
        </w:tc>
        <w:tc>
          <w:tcPr>
            <w:tcW w:type="dxa" w:w="16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9.530</w:t>
            </w:r>
          </w:p>
        </w:tc>
        <w:tc>
          <w:tcPr>
            <w:tcW w:type="dxa" w:w="17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1.022,31</w:t>
            </w:r>
          </w:p>
        </w:tc>
        <w:tc>
          <w:tcPr>
            <w:tcW w:type="dxa" w:w="20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−166,47 (Guthaben)</w:t>
            </w:r>
          </w:p>
        </w:tc>
        <w:tc>
          <w:tcPr>
            <w:tcW w:type="dxa" w:w="26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Normalbetrieb (Referenz)</w:t>
            </w:r>
          </w:p>
        </w:tc>
      </w:tr>
      <w:tr>
        <w:tc>
          <w:tcPr>
            <w:tcW w:type="dxa" w:w="9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2020</w:t>
            </w:r>
          </w:p>
        </w:tc>
        <w:tc>
          <w:tcPr>
            <w:tcW w:type="dxa" w:w="16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9.044</w:t>
            </w:r>
          </w:p>
        </w:tc>
        <w:tc>
          <w:tcPr>
            <w:tcW w:type="dxa" w:w="17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1.016,63</w:t>
            </w:r>
          </w:p>
        </w:tc>
        <w:tc>
          <w:tcPr>
            <w:tcW w:type="dxa" w:w="20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+41,94 (Nachzahlung)</w:t>
            </w:r>
          </w:p>
        </w:tc>
        <w:tc>
          <w:tcPr>
            <w:tcW w:type="dxa" w:w="26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Normalbetrieb (Referenz)</w:t>
            </w:r>
          </w:p>
        </w:tc>
      </w:tr>
      <w:tr>
        <w:tc>
          <w:tcPr>
            <w:tcW w:type="dxa" w:w="9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2021</w:t>
            </w:r>
          </w:p>
        </w:tc>
        <w:tc>
          <w:tcPr>
            <w:tcW w:type="dxa" w:w="16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9.286</w:t>
            </w:r>
          </w:p>
        </w:tc>
        <w:tc>
          <w:tcPr>
            <w:tcW w:type="dxa" w:w="17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1.156,19</w:t>
            </w:r>
          </w:p>
        </w:tc>
        <w:tc>
          <w:tcPr>
            <w:tcW w:type="dxa" w:w="20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+184,09 (Nachzahlung)</w:t>
            </w:r>
          </w:p>
        </w:tc>
        <w:tc>
          <w:tcPr>
            <w:tcW w:type="dxa" w:w="26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Normalbetrieb (Referenz)</w:t>
            </w:r>
          </w:p>
        </w:tc>
      </w:tr>
      <w:tr>
        <w:tc>
          <w:tcPr>
            <w:tcW w:type="dxa" w:w="9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2022</w:t>
            </w:r>
          </w:p>
        </w:tc>
        <w:tc>
          <w:tcPr>
            <w:tcW w:type="dxa" w:w="16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5.250</w:t>
            </w:r>
          </w:p>
        </w:tc>
        <w:tc>
          <w:tcPr>
            <w:tcW w:type="dxa" w:w="17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831,29</w:t>
            </w:r>
          </w:p>
        </w:tc>
        <w:tc>
          <w:tcPr>
            <w:tcW w:type="dxa" w:w="205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−458,44 (Guthaben)</w:t>
            </w:r>
          </w:p>
        </w:tc>
        <w:tc>
          <w:tcPr>
            <w:tcW w:type="dxa" w:w="26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Normalbetrieb (Referenz)</w:t>
            </w:r>
          </w:p>
        </w:tc>
      </w:tr>
      <w:tr>
        <w:tc>
          <w:tcPr>
            <w:tcW w:type="dxa" w:w="950"/>
            <w:shd w:fill="FDEDEC"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2023</w:t>
            </w:r>
          </w:p>
        </w:tc>
        <w:tc>
          <w:tcPr>
            <w:tcW w:type="dxa" w:w="1650"/>
            <w:shd w:fill="FDEDEC"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67.715</w:t>
            </w:r>
          </w:p>
        </w:tc>
        <w:tc>
          <w:tcPr>
            <w:tcW w:type="dxa" w:w="1750"/>
            <w:shd w:fill="FDEDEC"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3.999,34</w:t>
            </w:r>
          </w:p>
        </w:tc>
        <w:tc>
          <w:tcPr>
            <w:tcW w:type="dxa" w:w="2050"/>
            <w:shd w:fill="FDEDEC"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+1.674,52 (unter Vorbehalt gezahlt)</w:t>
            </w:r>
          </w:p>
        </w:tc>
        <w:tc>
          <w:tcPr>
            <w:tcW w:type="dxa" w:w="2626"/>
            <w:shd w:fill="FDEDEC"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+1.190 % ggü. 2022; </w:t>
            </w:r>
            <w:r>
              <w:rPr>
                <w:rFonts w:ascii="Times New Roman" w:cs="Times New Roman" w:eastAsia="Times New Roman" w:hAnsi="Times New Roman"/>
                <w:b w:val="false"/>
                <w:bCs w:val="false"/>
                <w:sz w:val="19"/>
                <w:szCs w:val="19"/>
              </w:rPr>
              <w:t xml:space="preserve">Erfassungsfehler + Ventildefekt</w:t>
            </w:r>
          </w:p>
        </w:tc>
      </w:tr>
      <w:tr>
        <w:tc>
          <w:tcPr>
            <w:tcW w:type="dxa" w:w="950"/>
            <w:shd w:fill="FDEDEC"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2024</w:t>
            </w:r>
          </w:p>
        </w:tc>
        <w:tc>
          <w:tcPr>
            <w:tcW w:type="dxa" w:w="1650"/>
            <w:shd w:fill="FDEDEC"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59.322</w:t>
            </w:r>
          </w:p>
        </w:tc>
        <w:tc>
          <w:tcPr>
            <w:tcW w:type="dxa" w:w="1750"/>
            <w:shd w:fill="FDEDEC"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4.511,02</w:t>
            </w:r>
          </w:p>
        </w:tc>
        <w:tc>
          <w:tcPr>
            <w:tcW w:type="dxa" w:w="2050"/>
            <w:shd w:fill="FDEDEC" w:val="clear"/>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bCs/>
                <w:i w:val="false"/>
                <w:iCs w:val="false"/>
                <w:sz w:val="19"/>
                <w:szCs w:val="19"/>
              </w:rPr>
              <w:t xml:space="preserve">+3.344,04 (bestritten)</w:t>
            </w:r>
          </w:p>
        </w:tc>
        <w:tc>
          <w:tcPr>
            <w:tcW w:type="dxa" w:w="2626"/>
            <w:shd w:fill="FDEDEC"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mehr als das Siebenfache des Ø; fortdauernder Ventildefekt</w:t>
            </w:r>
          </w:p>
        </w:tc>
      </w:tr>
    </w:tbl>
    <w:p>
      <w:pPr>
        <w:spacing w:after="240" w:before="60"/>
        <w:jc w:val="center"/>
      </w:pPr>
      <w:r>
        <w:rPr>
          <w:rFonts w:ascii="Times New Roman" w:cs="Times New Roman" w:eastAsia="Times New Roman" w:hAnsi="Times New Roman"/>
          <w:i/>
          <w:iCs/>
          <w:sz w:val="19"/>
          <w:szCs w:val="19"/>
        </w:rPr>
        <w:t xml:space="preserve">Tabelle 1: Verbrauchs- und Kostenhistorie der Nutzeinheit NE07 laut Abrechnungen der Beklagten (Anlagenkonvolut K 3).</w:t>
      </w:r>
    </w:p>
    <w:p>
      <w:pPr>
        <w:spacing w:after="40" w:before="12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574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19"/>
          <w:szCs w:val="19"/>
        </w:rPr>
        <w:t xml:space="preserve">Abbildung 1: Heizverbrauch (links) und Heizkosten (rechts) 2019–2024. Gestrichelte Linie = Durchschnitt der Normaljahre 2019–2022; rot = Anomaliejahre 2023/2024.</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Betriebs- und Heizkostenabrechnungen 2019 bis 2024 – Anlagenkonvolut K 3</w:t>
      </w:r>
    </w:p>
    <w:p>
      <w:pPr>
        <w:spacing w:after="100" w:before="200"/>
      </w:pPr>
      <w:r>
        <w:rPr>
          <w:rFonts w:ascii="Times New Roman" w:cs="Times New Roman" w:eastAsia="Times New Roman" w:hAnsi="Times New Roman"/>
          <w:b/>
          <w:bCs/>
          <w:sz w:val="22"/>
          <w:szCs w:val="22"/>
        </w:rPr>
        <w:t xml:space="preserve">III.  Eingeständnis des Messdienstleisters (Techem) vom 07.02.2025</w:t>
      </w:r>
    </w:p>
    <w:p>
      <w:pPr>
        <w:spacing w:after="120" w:before="0" w:line="300"/>
        <w:jc w:val="both"/>
      </w:pPr>
      <w:r>
        <w:rPr>
          <w:rFonts w:ascii="Times New Roman" w:cs="Times New Roman" w:eastAsia="Times New Roman" w:hAnsi="Times New Roman"/>
          <w:sz w:val="22"/>
          <w:szCs w:val="22"/>
        </w:rPr>
        <w:t xml:space="preserve">Der Kläger beanstandete die Abrechnung 2023 unverzüglich nach Zugang. Mit E-Mail vom 07.02.2025 leitete die Hausverwaltung der Beklagten eine Stellungnahme der Techem weiter, in der es wörtlich heißt:</w:t>
      </w:r>
    </w:p>
    <w:tbl>
      <w:tblPr>
        <w:tblW w:type="dxa" w:w="9026"/>
        <w:tblBorders>
          <w:top w:val="single" w:color="BFC5CC" w:sz="4"/>
          <w:left w:val="single" w:color="BFC5CC" w:sz="4"/>
          <w:bottom w:val="single" w:color="BFC5CC" w:sz="4"/>
          <w:right w:val="single" w:color="BFC5CC" w:sz="4"/>
          <w:insideH w:val="single" w:color="BFC5CC" w:sz="4"/>
          <w:insideV w:val="single" w:color="BFC5CC" w:sz="4"/>
        </w:tblBorders>
      </w:tblPr>
      <w:tblGrid>
        <w:gridCol w:w="9026"/>
      </w:tblGrid>
      <w:tr>
        <w:tc>
          <w:tcPr>
            <w:tcW w:type="dxa" w:w="9026"/>
            <w:shd w:fill="F2F3F5" w:val="clear"/>
            <w:tcMar>
              <w:top w:type="dxa" w:w="120"/>
              <w:left w:type="dxa" w:w="160"/>
              <w:bottom w:type="dxa" w:w="120"/>
              <w:right w:type="dxa" w:w="160"/>
            </w:tcMar>
          </w:tcPr>
          <w:p>
            <w:pPr>
              <w:spacing w:after="60"/>
            </w:pPr>
            <w:r>
              <w:rPr>
                <w:rFonts w:ascii="Times New Roman" w:cs="Times New Roman" w:eastAsia="Times New Roman" w:hAnsi="Times New Roman"/>
                <w:b/>
                <w:bCs/>
                <w:sz w:val="20"/>
                <w:szCs w:val="20"/>
              </w:rPr>
              <w:t xml:space="preserve">Techem-Stellungnahme vom 07.02.2025 (Anlage K 4, wörtlich):</w:t>
            </w:r>
          </w:p>
          <w:p>
            <w:pPr>
              <w:spacing w:after="0" w:line="280"/>
              <w:jc w:val="both"/>
            </w:pPr>
            <w:r>
              <w:rPr>
                <w:rFonts w:ascii="Times New Roman" w:cs="Times New Roman" w:eastAsia="Times New Roman" w:hAnsi="Times New Roman"/>
                <w:i/>
                <w:iCs/>
                <w:sz w:val="20"/>
                <w:szCs w:val="20"/>
              </w:rPr>
              <w:t xml:space="preserve">„Nach einer Prüfung Ihrer Abrechnung haben wir festgestellt, dass in der Einheit NE07 Kovnatsky beim Wärmemengenzähler […] ein Verbrauch von 62.508,90 kWh abgerechnet wurde. Im Vorjahr wurde dieser Wärmemengenzähler mit einem Nullverbrauch abgerechnet, was vermutlich nicht korrekt gewesen ist. […] Da dies vermutlich nicht korrekt ist, möchten wir Ihnen eine Berichtigung anbieten […]“</w:t>
            </w:r>
          </w:p>
        </w:tc>
      </w:tr>
    </w:tbl>
    <w:p>
      <w:pPr>
        <w:spacing w:after="120"/>
      </w:pPr>
    </w:p>
    <w:p>
      <w:pPr>
        <w:spacing w:after="120" w:before="0" w:line="300"/>
        <w:jc w:val="both"/>
      </w:pPr>
      <w:r>
        <w:rPr>
          <w:rFonts w:ascii="Times New Roman" w:cs="Times New Roman" w:eastAsia="Times New Roman" w:hAnsi="Times New Roman"/>
          <w:sz w:val="22"/>
          <w:szCs w:val="22"/>
        </w:rPr>
        <w:t xml:space="preserve">Damit ist durch den eigenen Messdienstleister der Beklagten dokumentiert: Die Verbrauchserfassung der Nutzeinheit NE07 war fehlerhaft (Nullverbrauch im Vorjahr mit anschließender „Nachholung“); eine Berichtigung wurde ausdrücklich angeboten. Eine korrigierte Abrechnung hat die Beklagte gleichwohl bis heute – mithin seit nahezu eineinhalb Jahren – nicht vorgelegt, obwohl der Kläger dies wiederholt angemahnt hat.</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E-Mail der Hausverwaltung nebst Techem-Stellungnahme vom 07.02.2025 – Anlage K 4;  Erinnerungsschreiben des Klägers vom </w:t>
      </w:r>
      <w:r>
        <w:rPr>
          <w:rFonts w:ascii="Times New Roman" w:cs="Times New Roman" w:eastAsia="Times New Roman" w:hAnsi="Times New Roman"/>
          <w:i/>
          <w:iCs/>
          <w:sz w:val="20"/>
          <w:szCs w:val="20"/>
          <w:highlight w:val="yellow"/>
          <w:highlightCs w:val="yellow"/>
        </w:rPr>
        <w:t xml:space="preserve">[Daten]</w:t>
      </w:r>
      <w:r>
        <w:rPr>
          <w:rFonts w:ascii="Times New Roman" w:cs="Times New Roman" w:eastAsia="Times New Roman" w:hAnsi="Times New Roman"/>
          <w:i/>
          <w:iCs/>
          <w:sz w:val="20"/>
          <w:szCs w:val="20"/>
        </w:rPr>
        <w:t xml:space="preserve"> – Anlagenkonvolut K 5;  Zeugnis des zuständigen Sachbearbeiters der Techem, </w:t>
      </w:r>
      <w:r>
        <w:rPr>
          <w:rFonts w:ascii="Times New Roman" w:cs="Times New Roman" w:eastAsia="Times New Roman" w:hAnsi="Times New Roman"/>
          <w:i/>
          <w:iCs/>
          <w:sz w:val="20"/>
          <w:szCs w:val="20"/>
          <w:highlight w:val="yellow"/>
          <w:highlightCs w:val="yellow"/>
        </w:rPr>
        <w:t xml:space="preserve">[Name]</w:t>
      </w:r>
      <w:r>
        <w:rPr>
          <w:rFonts w:ascii="Times New Roman" w:cs="Times New Roman" w:eastAsia="Times New Roman" w:hAnsi="Times New Roman"/>
          <w:i/>
          <w:iCs/>
          <w:sz w:val="20"/>
          <w:szCs w:val="20"/>
        </w:rPr>
        <w:t xml:space="preserve">, zu laden über die Techem GmbH, </w:t>
      </w:r>
      <w:r>
        <w:rPr>
          <w:rFonts w:ascii="Times New Roman" w:cs="Times New Roman" w:eastAsia="Times New Roman" w:hAnsi="Times New Roman"/>
          <w:i/>
          <w:iCs/>
          <w:sz w:val="20"/>
          <w:szCs w:val="20"/>
          <w:highlight w:val="yellow"/>
          <w:highlightCs w:val="yellow"/>
        </w:rPr>
        <w:t xml:space="preserve">[Anschrift]</w:t>
      </w:r>
    </w:p>
    <w:p>
      <w:pPr>
        <w:spacing w:after="100" w:before="200"/>
      </w:pPr>
      <w:r>
        <w:rPr>
          <w:rFonts w:ascii="Times New Roman" w:cs="Times New Roman" w:eastAsia="Times New Roman" w:hAnsi="Times New Roman"/>
          <w:b/>
          <w:bCs/>
          <w:sz w:val="22"/>
          <w:szCs w:val="22"/>
        </w:rPr>
        <w:t xml:space="preserve">IV.  Technischer Mangel: defektes Heizkörperventil (unfreiwilliger Dauerheizbetrieb)</w:t>
      </w:r>
    </w:p>
    <w:p>
      <w:pPr>
        <w:spacing w:after="120" w:before="0" w:line="300"/>
        <w:jc w:val="both"/>
      </w:pPr>
      <w:r>
        <w:rPr>
          <w:rFonts w:ascii="Times New Roman" w:cs="Times New Roman" w:eastAsia="Times New Roman" w:hAnsi="Times New Roman"/>
          <w:sz w:val="22"/>
          <w:szCs w:val="22"/>
        </w:rPr>
        <w:t xml:space="preserve">Parallel bestand ein erheblicher technischer Mangel: Das Heizkörperventil im Schlafzimmer schloss nicht mehr. Der Heizkörper heizte selbst bei Thermostatstellung „Schneeflocke“ (Frostschutz/Aus) unkontrolliert weiter und war zeitweise so heiß, dass er kaum berührt werden konnte. Auf diesen Dauerheizbetrieb hatte der Kläger keinerlei Einfluss. Der Mangel wurde der Beklagten mit Schreiben vom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angezeigt (§ 536c BGB). Erst im April 2026 – mithin nach </w:t>
      </w:r>
      <w:r>
        <w:rPr>
          <w:rFonts w:ascii="Times New Roman" w:cs="Times New Roman" w:eastAsia="Times New Roman" w:hAnsi="Times New Roman"/>
          <w:b w:val="false"/>
          <w:bCs w:val="false"/>
          <w:i w:val="false"/>
          <w:iCs w:val="false"/>
          <w:sz w:val="22"/>
          <w:szCs w:val="22"/>
          <w:highlight w:val="yellow"/>
          <w:highlightCs w:val="yellow"/>
        </w:rPr>
        <w:t xml:space="preserve">[Anzahl]</w:t>
      </w:r>
      <w:r>
        <w:rPr>
          <w:rFonts w:ascii="Times New Roman" w:cs="Times New Roman" w:eastAsia="Times New Roman" w:hAnsi="Times New Roman"/>
          <w:sz w:val="22"/>
          <w:szCs w:val="22"/>
        </w:rPr>
        <w:t xml:space="preserve"> Monaten – ließ die Beklagte das Ventil instand setzen. Die erfolgte Reparatur belegt zugleich das Vorliegen des Mangels.</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Mängelanzeige(n) vom </w:t>
      </w:r>
      <w:r>
        <w:rPr>
          <w:rFonts w:ascii="Times New Roman" w:cs="Times New Roman" w:eastAsia="Times New Roman" w:hAnsi="Times New Roman"/>
          <w:i/>
          <w:iCs/>
          <w:sz w:val="20"/>
          <w:szCs w:val="20"/>
          <w:highlight w:val="yellow"/>
          <w:highlightCs w:val="yellow"/>
        </w:rPr>
        <w:t xml:space="preserve">[Datum/Daten]</w:t>
      </w:r>
      <w:r>
        <w:rPr>
          <w:rFonts w:ascii="Times New Roman" w:cs="Times New Roman" w:eastAsia="Times New Roman" w:hAnsi="Times New Roman"/>
          <w:i/>
          <w:iCs/>
          <w:sz w:val="20"/>
          <w:szCs w:val="20"/>
        </w:rPr>
        <w:t xml:space="preserve"> – Anlage K 6;  Lichtbilder Heizkörper/Thermostat – Anlagenkonvolut K 7;  Reparaturbestätigung/Rechnung April 2026 – Anlage K 8;  Zeugnis des ausführenden Monteurs </w:t>
      </w:r>
      <w:r>
        <w:rPr>
          <w:rFonts w:ascii="Times New Roman" w:cs="Times New Roman" w:eastAsia="Times New Roman" w:hAnsi="Times New Roman"/>
          <w:i/>
          <w:iCs/>
          <w:sz w:val="20"/>
          <w:szCs w:val="20"/>
          <w:highlight w:val="yellow"/>
          <w:highlightCs w:val="yellow"/>
        </w:rPr>
        <w:t xml:space="preserve">[Name, ladungsfähige Anschrift]</w:t>
      </w:r>
      <w:r>
        <w:rPr>
          <w:rFonts w:ascii="Times New Roman" w:cs="Times New Roman" w:eastAsia="Times New Roman" w:hAnsi="Times New Roman"/>
          <w:i/>
          <w:iCs/>
          <w:sz w:val="20"/>
          <w:szCs w:val="20"/>
        </w:rPr>
        <w:t xml:space="preserve">;  Parteivernehmung des Klägers;  Sachverständigengutachten</w:t>
      </w:r>
    </w:p>
    <w:p>
      <w:pPr>
        <w:spacing w:after="100" w:before="200"/>
      </w:pPr>
      <w:r>
        <w:rPr>
          <w:rFonts w:ascii="Times New Roman" w:cs="Times New Roman" w:eastAsia="Times New Roman" w:hAnsi="Times New Roman"/>
          <w:b/>
          <w:bCs/>
          <w:sz w:val="22"/>
          <w:szCs w:val="22"/>
        </w:rPr>
        <w:t xml:space="preserve">V.  Eichüberfällige Erfassungsgeräte</w:t>
      </w:r>
    </w:p>
    <w:p>
      <w:pPr>
        <w:spacing w:after="120" w:before="0" w:line="300"/>
        <w:jc w:val="both"/>
      </w:pPr>
      <w:r>
        <w:rPr>
          <w:rFonts w:ascii="Times New Roman" w:cs="Times New Roman" w:eastAsia="Times New Roman" w:hAnsi="Times New Roman"/>
          <w:sz w:val="22"/>
          <w:szCs w:val="22"/>
        </w:rPr>
        <w:t xml:space="preserve">Ausweislich der Abrechnungen sind die in der Wohnung eingesetzten Erfassungsgeräte (Wärmemengenzähler) zudem eichüberfällig </w:t>
      </w:r>
      <w:r>
        <w:rPr>
          <w:rFonts w:ascii="Times New Roman" w:cs="Times New Roman" w:eastAsia="Times New Roman" w:hAnsi="Times New Roman"/>
          <w:b w:val="false"/>
          <w:bCs w:val="false"/>
          <w:i w:val="false"/>
          <w:iCs w:val="false"/>
          <w:sz w:val="22"/>
          <w:szCs w:val="22"/>
          <w:highlight w:val="yellow"/>
          <w:highlightCs w:val="yellow"/>
        </w:rPr>
        <w:t xml:space="preserve">[genaue Fundstelle in der Abrechnung kennzeichnen]</w:t>
      </w:r>
      <w:r>
        <w:rPr>
          <w:rFonts w:ascii="Times New Roman" w:cs="Times New Roman" w:eastAsia="Times New Roman" w:hAnsi="Times New Roman"/>
          <w:sz w:val="22"/>
          <w:szCs w:val="22"/>
        </w:rPr>
        <w:t xml:space="preserve">.</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Anlagenkonvolut K 3;  Sachverständigengutachten</w:t>
      </w:r>
    </w:p>
    <w:p>
      <w:pPr>
        <w:spacing w:after="100" w:before="200"/>
      </w:pPr>
      <w:r>
        <w:rPr>
          <w:rFonts w:ascii="Times New Roman" w:cs="Times New Roman" w:eastAsia="Times New Roman" w:hAnsi="Times New Roman"/>
          <w:b/>
          <w:bCs/>
          <w:sz w:val="22"/>
          <w:szCs w:val="22"/>
        </w:rPr>
        <w:t xml:space="preserve">VI.  Zahlung der Nachforderung 2023 unter Vorbehalt</w:t>
      </w:r>
    </w:p>
    <w:p>
      <w:pPr>
        <w:spacing w:after="120" w:before="0" w:line="300"/>
        <w:jc w:val="both"/>
      </w:pPr>
      <w:r>
        <w:rPr>
          <w:rFonts w:ascii="Times New Roman" w:cs="Times New Roman" w:eastAsia="Times New Roman" w:hAnsi="Times New Roman"/>
          <w:sz w:val="22"/>
          <w:szCs w:val="22"/>
        </w:rPr>
        <w:t xml:space="preserve">Um Nachteile abzuwenden, zahlte der Kläger die Nachforderung aus der Abrechnung 2023 in Höhe von 1.674,52 € am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ausdrücklich unter dem Vorbehalt der Rückforderung.</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Zahlungsbeleg nebst Vorbehaltserklärung – Anlage K 9</w:t>
      </w:r>
    </w:p>
    <w:p>
      <w:pPr>
        <w:spacing w:after="100" w:before="200"/>
      </w:pPr>
      <w:r>
        <w:rPr>
          <w:rFonts w:ascii="Times New Roman" w:cs="Times New Roman" w:eastAsia="Times New Roman" w:hAnsi="Times New Roman"/>
          <w:b/>
          <w:bCs/>
          <w:sz w:val="22"/>
          <w:szCs w:val="22"/>
        </w:rPr>
        <w:t xml:space="preserve">VII.  Mahnung vom 29.05.2026 trotz zugesagter Korrektur</w:t>
      </w:r>
    </w:p>
    <w:p>
      <w:pPr>
        <w:spacing w:after="120" w:before="0" w:line="300"/>
        <w:jc w:val="both"/>
      </w:pPr>
      <w:r>
        <w:rPr>
          <w:rFonts w:ascii="Times New Roman" w:cs="Times New Roman" w:eastAsia="Times New Roman" w:hAnsi="Times New Roman"/>
          <w:sz w:val="22"/>
          <w:szCs w:val="22"/>
        </w:rPr>
        <w:t xml:space="preserve">Obwohl die zugesagte Berichtigung seit Februar 2025 aussteht und der Vorgang bei der Beklagten als „in Bearbeitung“ geführt wird, mahnte die Beklagte mit Schreiben vom 29.05.2026 aus der Abrechnung 2024 einen Betrag von 3.313,39 € an und drohte gerichtliche Schritte an.</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Mahnung vom 29.05.2026 – Anlage K 10</w:t>
      </w:r>
    </w:p>
    <w:p>
      <w:pPr>
        <w:spacing w:after="100" w:before="200"/>
      </w:pPr>
      <w:r>
        <w:rPr>
          <w:rFonts w:ascii="Times New Roman" w:cs="Times New Roman" w:eastAsia="Times New Roman" w:hAnsi="Times New Roman"/>
          <w:b/>
          <w:bCs/>
          <w:sz w:val="22"/>
          <w:szCs w:val="22"/>
        </w:rPr>
        <w:t xml:space="preserve">VIII.  Mieterhöhungsverlangen vom 26.06.2026</w:t>
      </w:r>
    </w:p>
    <w:p>
      <w:pPr>
        <w:spacing w:after="120" w:before="0" w:line="300"/>
        <w:jc w:val="both"/>
      </w:pPr>
      <w:r>
        <w:rPr>
          <w:rFonts w:ascii="Times New Roman" w:cs="Times New Roman" w:eastAsia="Times New Roman" w:hAnsi="Times New Roman"/>
          <w:sz w:val="22"/>
          <w:szCs w:val="22"/>
        </w:rPr>
        <w:t xml:space="preserve">Mit Schreiben vom 26.06.2026 – zugegangen am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 verlangte die „Becker &amp; Kries Grundstücks GmbH &amp; Co. KG“ die Zustimmung zur Erhöhung der Nettokaltmiete um 96,87 € auf 1.043,87 € (entspricht 11,75 €/m²). Eine Originalvollmacht war dem Schreiben nicht beigefügt. Der Kläger hat das Erhöhungsverlangen mit Schreiben vom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entsprechend § 174 Satz 1 BGB zurückgewiesen.</w:t>
      </w:r>
    </w:p>
    <w:p>
      <w:pPr>
        <w:spacing w:after="120" w:before="0" w:line="300"/>
        <w:jc w:val="both"/>
      </w:pPr>
      <w:r>
        <w:rPr>
          <w:rFonts w:ascii="Times New Roman" w:cs="Times New Roman" w:eastAsia="Times New Roman" w:hAnsi="Times New Roman"/>
          <w:sz w:val="22"/>
          <w:szCs w:val="22"/>
        </w:rPr>
        <w:t xml:space="preserve">Das Erhöhungsverlangen stützt sich auf den Berliner Mietspiegel </w:t>
      </w:r>
      <w:r>
        <w:rPr>
          <w:rFonts w:ascii="Times New Roman" w:cs="Times New Roman" w:eastAsia="Times New Roman" w:hAnsi="Times New Roman"/>
          <w:b w:val="false"/>
          <w:bCs w:val="false"/>
          <w:i w:val="false"/>
          <w:iCs w:val="false"/>
          <w:sz w:val="22"/>
          <w:szCs w:val="22"/>
          <w:highlight w:val="yellow"/>
          <w:highlightCs w:val="yellow"/>
        </w:rPr>
        <w:t xml:space="preserve">[2024 oder 2026 – prüfen]</w:t>
      </w:r>
      <w:r>
        <w:rPr>
          <w:rFonts w:ascii="Times New Roman" w:cs="Times New Roman" w:eastAsia="Times New Roman" w:hAnsi="Times New Roman"/>
          <w:sz w:val="22"/>
          <w:szCs w:val="22"/>
        </w:rPr>
        <w:t xml:space="preserve"> und setzt u. a. wohnwerterhöhende Merkmale für einen „vom Vermieter gestellten Parkplatz“ sowie einen „hochwertigen Bodenbelag“ an; zugleich nimmt die Beklagte selbst einen Abschlag von 20 % für eine „Heizanlage mit ungünstigem Wirkungsgrad (vor 1995)“ vor.</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Mieterhöhungsverlangen vom 26.06.2026 – Anlage K 11;  Zurückweisungsschreiben vom </w:t>
      </w:r>
      <w:r>
        <w:rPr>
          <w:rFonts w:ascii="Times New Roman" w:cs="Times New Roman" w:eastAsia="Times New Roman" w:hAnsi="Times New Roman"/>
          <w:i/>
          <w:iCs/>
          <w:sz w:val="20"/>
          <w:szCs w:val="20"/>
          <w:highlight w:val="yellow"/>
          <w:highlightCs w:val="yellow"/>
        </w:rPr>
        <w:t xml:space="preserve">[Datum]</w:t>
      </w:r>
      <w:r>
        <w:rPr>
          <w:rFonts w:ascii="Times New Roman" w:cs="Times New Roman" w:eastAsia="Times New Roman" w:hAnsi="Times New Roman"/>
          <w:i/>
          <w:iCs/>
          <w:sz w:val="20"/>
          <w:szCs w:val="20"/>
        </w:rPr>
        <w:t xml:space="preserve"> – Anlage K 12</w:t>
      </w:r>
    </w:p>
    <w:p>
      <w:pPr>
        <w:spacing w:after="100" w:before="200"/>
      </w:pPr>
      <w:r>
        <w:rPr>
          <w:rFonts w:ascii="Times New Roman" w:cs="Times New Roman" w:eastAsia="Times New Roman" w:hAnsi="Times New Roman"/>
          <w:b/>
          <w:bCs/>
          <w:sz w:val="22"/>
          <w:szCs w:val="22"/>
        </w:rPr>
        <w:t xml:space="preserve">IX.  Chronologie (Übersicht)</w:t>
      </w:r>
    </w:p>
    <w:tbl>
      <w:tblPr>
        <w:tblW w:type="dxa" w:w="9026"/>
        <w:tblBorders>
          <w:top w:val="single" w:color="9AA0A6" w:sz="4"/>
          <w:left w:val="single" w:color="9AA0A6" w:sz="4"/>
          <w:bottom w:val="single" w:color="9AA0A6" w:sz="4"/>
          <w:right w:val="single" w:color="9AA0A6" w:sz="4"/>
          <w:insideH w:val="single" w:color="9AA0A6" w:sz="4"/>
          <w:insideV w:val="single" w:color="9AA0A6" w:sz="4"/>
        </w:tblBorders>
      </w:tblPr>
      <w:tblGrid>
        <w:gridCol w:w="1500"/>
        <w:gridCol w:w="5400"/>
        <w:gridCol w:w="2126"/>
      </w:tblGrid>
      <w:tr>
        <w:trPr>
          <w:tblHeader/>
        </w:trPr>
        <w:tc>
          <w:tcPr>
            <w:tcW w:type="dxa" w:w="150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Datum</w:t>
            </w:r>
          </w:p>
        </w:tc>
        <w:tc>
          <w:tcPr>
            <w:tcW w:type="dxa" w:w="540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Ereignis</w:t>
            </w:r>
          </w:p>
        </w:tc>
        <w:tc>
          <w:tcPr>
            <w:tcW w:type="dxa" w:w="2126"/>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Beleg</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01.10.2017</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Mietbeginn; Nettokaltmiete 947,00 €</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1</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28.03.2019</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Nachtrag zum Mietvertrag (dort ausgewiesen: B&amp;K Immobilien Management GmbH)</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2</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2019–2022</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Stabiler Normalverbrauch (Ø 8.278 kWh/Jahr)</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3</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i w:val="false"/>
                <w:iCs w:val="false"/>
                <w:sz w:val="19"/>
                <w:szCs w:val="19"/>
                <w:highlight w:val="yellow"/>
                <w:highlightCs w:val="yellow"/>
              </w:rPr>
              <w:t xml:space="preserve">[Datum 2024]</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Zugang Abrechnung 2023: 67.715 kWh, Nachforderung 1.674,52 €; unverzügliche Beanstandung durch den Kläger</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3, K 5</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i w:val="false"/>
                <w:iCs w:val="false"/>
                <w:sz w:val="19"/>
                <w:szCs w:val="19"/>
                <w:highlight w:val="yellow"/>
                <w:highlightCs w:val="yellow"/>
              </w:rPr>
              <w:t xml:space="preserve">[Datum]</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Zahlung der Nachforderung 2023 unter Vorbehalt</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9</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07.02.2025</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Techem räumt Erfassungsfehler schriftlich ein und bietet Berichtigung an</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4</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i w:val="false"/>
                <w:iCs w:val="false"/>
                <w:sz w:val="19"/>
                <w:szCs w:val="19"/>
                <w:highlight w:val="yellow"/>
                <w:highlightCs w:val="yellow"/>
              </w:rPr>
              <w:t xml:space="preserve">[Datum]</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Mängelanzeige: Heizkörperventil schließt nicht (Dauerheizbetrieb)</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6</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i w:val="false"/>
                <w:iCs w:val="false"/>
                <w:sz w:val="19"/>
                <w:szCs w:val="19"/>
                <w:highlight w:val="yellow"/>
                <w:highlightCs w:val="yellow"/>
              </w:rPr>
              <w:t xml:space="preserve">[Datum]</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Zugang Abrechnung 2024: 59.322 kWh, Saldo 3.344,04 €</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3</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04/2026</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Instandsetzung des Ventils durch die Beklagte</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8</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29.05.2026</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Mahnung über 3.313,39 € mit Androhung gerichtlicher Schritte</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10</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26.06.2026</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Mieterhöhungsverlangen: +96,87 € auf 1.043,87 € (11,75 €/m²)</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11</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i w:val="false"/>
                <w:iCs w:val="false"/>
                <w:sz w:val="19"/>
                <w:szCs w:val="19"/>
                <w:highlight w:val="yellow"/>
                <w:highlightCs w:val="yellow"/>
              </w:rPr>
              <w:t xml:space="preserve">[Datum]</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Zurückweisung des Erhöhungsverlangens entsprechend § 174 BGB</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12</w:t>
            </w:r>
          </w:p>
        </w:tc>
      </w:tr>
      <w:tr>
        <w:tc>
          <w:tcPr>
            <w:tcW w:type="dxa" w:w="15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i w:val="false"/>
                <w:iCs w:val="false"/>
                <w:sz w:val="19"/>
                <w:szCs w:val="19"/>
                <w:highlight w:val="yellow"/>
                <w:highlightCs w:val="yellow"/>
              </w:rPr>
              <w:t xml:space="preserve">[Datum]</w:t>
            </w:r>
          </w:p>
        </w:tc>
        <w:tc>
          <w:tcPr>
            <w:tcW w:type="dxa" w:w="54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Qualifizierte Rüge nach § 556g Abs. 2 BGB a. F. (Mietpreisbremse)</w:t>
            </w:r>
          </w:p>
        </w:tc>
        <w:tc>
          <w:tcPr>
            <w:tcW w:type="dxa" w:w="21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 14</w:t>
            </w:r>
          </w:p>
        </w:tc>
      </w:tr>
    </w:tbl>
    <w:p>
      <w:pPr>
        <w:spacing w:after="240" w:before="60"/>
        <w:jc w:val="center"/>
      </w:pPr>
      <w:r>
        <w:rPr>
          <w:rFonts w:ascii="Times New Roman" w:cs="Times New Roman" w:eastAsia="Times New Roman" w:hAnsi="Times New Roman"/>
          <w:i/>
          <w:iCs/>
          <w:sz w:val="19"/>
          <w:szCs w:val="19"/>
        </w:rPr>
        <w:t xml:space="preserve">Tabelle 2: Chronologie der wesentlichen Ereignisse.</w:t>
      </w:r>
    </w:p>
    <w:p>
      <w:pPr>
        <w:spacing w:after="140" w:before="260"/>
        <w:jc w:val="left"/>
      </w:pPr>
      <w:r>
        <w:rPr>
          <w:rFonts w:ascii="Times New Roman" w:cs="Times New Roman" w:eastAsia="Times New Roman" w:hAnsi="Times New Roman"/>
          <w:b/>
          <w:bCs/>
          <w:sz w:val="23"/>
          <w:szCs w:val="23"/>
        </w:rPr>
        <w:t xml:space="preserve">B.  Rechtliche Würdigung</w:t>
      </w:r>
    </w:p>
    <w:p>
      <w:pPr>
        <w:spacing w:after="100" w:before="200"/>
      </w:pPr>
      <w:r>
        <w:rPr>
          <w:rFonts w:ascii="Times New Roman" w:cs="Times New Roman" w:eastAsia="Times New Roman" w:hAnsi="Times New Roman"/>
          <w:b/>
          <w:bCs/>
          <w:sz w:val="22"/>
          <w:szCs w:val="22"/>
        </w:rPr>
        <w:t xml:space="preserve">I.  Zulässigkeit</w:t>
      </w:r>
    </w:p>
    <w:p>
      <w:pPr>
        <w:spacing w:after="120" w:before="0" w:line="300"/>
        <w:jc w:val="both"/>
      </w:pPr>
      <w:r>
        <w:rPr>
          <w:rFonts w:ascii="Times New Roman" w:cs="Times New Roman" w:eastAsia="Times New Roman" w:hAnsi="Times New Roman"/>
          <w:b/>
          <w:bCs/>
          <w:i w:val="false"/>
          <w:iCs w:val="false"/>
          <w:sz w:val="22"/>
          <w:szCs w:val="22"/>
        </w:rPr>
        <w:t xml:space="preserve">1.  </w:t>
      </w:r>
      <w:r>
        <w:rPr>
          <w:rFonts w:ascii="Times New Roman" w:cs="Times New Roman" w:eastAsia="Times New Roman" w:hAnsi="Times New Roman"/>
          <w:sz w:val="22"/>
          <w:szCs w:val="22"/>
        </w:rPr>
        <w:t xml:space="preserve">Das Amtsgericht Charlottenburg ist sachlich und örtlich ausschließlich zuständig (§ 23 Nr. 2a GVG, § 29a Abs. 1 ZPO): Es handelt sich um Streitigkeiten über Ansprüche aus einem Mietverhältnis über Wohnraum in 10629 Berlin.</w:t>
      </w:r>
    </w:p>
    <w:p>
      <w:pPr>
        <w:spacing w:after="120" w:before="0" w:line="300"/>
        <w:jc w:val="both"/>
      </w:pPr>
      <w:r>
        <w:rPr>
          <w:rFonts w:ascii="Times New Roman" w:cs="Times New Roman" w:eastAsia="Times New Roman" w:hAnsi="Times New Roman"/>
          <w:b/>
          <w:bCs/>
          <w:i w:val="false"/>
          <w:iCs w:val="false"/>
          <w:sz w:val="22"/>
          <w:szCs w:val="22"/>
        </w:rPr>
        <w:t xml:space="preserve">2.  </w:t>
      </w:r>
      <w:r>
        <w:rPr>
          <w:rFonts w:ascii="Times New Roman" w:cs="Times New Roman" w:eastAsia="Times New Roman" w:hAnsi="Times New Roman"/>
          <w:sz w:val="22"/>
          <w:szCs w:val="22"/>
        </w:rPr>
        <w:t xml:space="preserve">Das Feststellungsinteresse (§ 256 Abs. 1 ZPO) für den Antrag zu I. folgt daraus, dass die Beklagte sich des Zahlungsanspruchs berühmt, ihn mit Schreiben vom 29.05.2026 angemahnt und gerichtliche Schritte angedroht hat. Für den Antrag zu III. folgt es daraus, dass die Beklagte sich eines Anspruchs auf Zustimmung berühmt und zeitgleich Zahlungsdruck aufbaut; die gemeinsame Verhandlung sämtlicher Streitpunkte des Mietverhältnisses ist sachdienlich (§ 260 ZPO). Für den Antrag zu V. besteht das Feststellungsinteresse, weil die künftig geschuldete Miethöhe zwischen den Parteien streitig ist und eine Leistungsklage insoweit nicht möglich ist.</w:t>
      </w:r>
    </w:p>
    <w:p>
      <w:pPr>
        <w:spacing w:after="120" w:before="0" w:line="300"/>
        <w:jc w:val="both"/>
      </w:pPr>
      <w:r>
        <w:rPr>
          <w:rFonts w:ascii="Times New Roman" w:cs="Times New Roman" w:eastAsia="Times New Roman" w:hAnsi="Times New Roman"/>
          <w:b/>
          <w:bCs/>
          <w:i w:val="false"/>
          <w:iCs w:val="false"/>
          <w:sz w:val="22"/>
          <w:szCs w:val="22"/>
        </w:rPr>
        <w:t xml:space="preserve">3.  </w:t>
      </w:r>
      <w:r>
        <w:rPr>
          <w:rFonts w:ascii="Times New Roman" w:cs="Times New Roman" w:eastAsia="Times New Roman" w:hAnsi="Times New Roman"/>
          <w:sz w:val="22"/>
          <w:szCs w:val="22"/>
        </w:rPr>
        <w:t xml:space="preserve">Die Stufenklage (Antrag zu IV.) ist nach § 254 ZPO zulässig; der Auskunftsanspruch folgt aus § 556g Abs. 3 BGB.</w:t>
      </w:r>
    </w:p>
    <w:p>
      <w:pPr>
        <w:spacing w:after="100" w:before="200"/>
      </w:pPr>
      <w:r>
        <w:rPr>
          <w:rFonts w:ascii="Times New Roman" w:cs="Times New Roman" w:eastAsia="Times New Roman" w:hAnsi="Times New Roman"/>
          <w:b/>
          <w:bCs/>
          <w:sz w:val="22"/>
          <w:szCs w:val="22"/>
        </w:rPr>
        <w:t xml:space="preserve">II.  Zum Antrag zu I.: Kein Nachzahlungsanspruch aus der Abrechnung 2024</w:t>
      </w:r>
    </w:p>
    <w:p>
      <w:pPr>
        <w:spacing w:after="120" w:before="0" w:line="300"/>
        <w:jc w:val="both"/>
      </w:pPr>
      <w:r>
        <w:rPr>
          <w:rFonts w:ascii="Times New Roman" w:cs="Times New Roman" w:eastAsia="Times New Roman" w:hAnsi="Times New Roman"/>
          <w:sz w:val="22"/>
          <w:szCs w:val="22"/>
        </w:rPr>
        <w:t xml:space="preserve">Der Beklagten steht der geltend gemachte Saldo unter keinem rechtlichen Gesichtspunkt zu.</w:t>
      </w:r>
    </w:p>
    <w:p>
      <w:pPr>
        <w:spacing w:after="120" w:before="0" w:line="300"/>
        <w:jc w:val="both"/>
      </w:pPr>
      <w:r>
        <w:rPr>
          <w:rFonts w:ascii="Times New Roman" w:cs="Times New Roman" w:eastAsia="Times New Roman" w:hAnsi="Times New Roman"/>
          <w:b/>
          <w:bCs/>
          <w:i w:val="false"/>
          <w:iCs w:val="false"/>
          <w:sz w:val="22"/>
          <w:szCs w:val="22"/>
        </w:rPr>
        <w:t xml:space="preserve">1.  Keine ordnungsgemäße Verbrauchserfassung.  </w:t>
      </w:r>
      <w:r>
        <w:rPr>
          <w:rFonts w:ascii="Times New Roman" w:cs="Times New Roman" w:eastAsia="Times New Roman" w:hAnsi="Times New Roman"/>
          <w:sz w:val="22"/>
          <w:szCs w:val="22"/>
        </w:rPr>
        <w:t xml:space="preserve">Die Abrechnung 2024 beruht – wie schon die Abrechnung 2023 – auf einer offenkundig fehlerhaften Verbrauchserfassung. Der ausgewiesene Verbrauch von 59.322 kWh entspricht mehr als dem Siebenfachen des langjährigen Durchschnitts (8.278 kWh p. a., 2019–2022) und ist weder physikalisch noch lebensnah erklärbar. Er beruht nach dem Eingeständnis des Messdienstleisters der Beklagten auf einem Erfassungsfehler (Nullverbrauch im Vorjahr mit anschließender „Nachholung“, Anlage K 4) sowie auf dem unfreiwilligen Dauerheizbetrieb infolge des defekten Ventils (oben A.IV.), einem Umstand aus der Sphäre der Beklagten.</w:t>
      </w:r>
    </w:p>
    <w:p>
      <w:pPr>
        <w:spacing w:after="120" w:before="0" w:line="300"/>
        <w:jc w:val="both"/>
      </w:pPr>
      <w:r>
        <w:rPr>
          <w:rFonts w:ascii="Times New Roman" w:cs="Times New Roman" w:eastAsia="Times New Roman" w:hAnsi="Times New Roman"/>
          <w:b/>
          <w:bCs/>
          <w:i w:val="false"/>
          <w:iCs w:val="false"/>
          <w:sz w:val="22"/>
          <w:szCs w:val="22"/>
        </w:rPr>
        <w:t xml:space="preserve">2.  Darlegungs- und Beweislast der Beklagten; eichüberfällige Geräte.  </w:t>
      </w:r>
      <w:r>
        <w:rPr>
          <w:rFonts w:ascii="Times New Roman" w:cs="Times New Roman" w:eastAsia="Times New Roman" w:hAnsi="Times New Roman"/>
          <w:sz w:val="22"/>
          <w:szCs w:val="22"/>
        </w:rPr>
        <w:t xml:space="preserve">Die Darlegungs- und Beweislast für die Richtigkeit der Verbrauchserfassung trägt die Beklagte. Den Messwerten nicht (mehr) geeichter Geräte kommt keine Richtigkeitsvermutung zu; der Vermieter muss die Richtigkeit der abgelesenen Werte im Prozess darlegen und beweisen (vgl. BGH, Urteil vom 17.11.2010 – VIII ZR 112/10 </w:t>
      </w:r>
      <w:r>
        <w:rPr>
          <w:rFonts w:ascii="Times New Roman" w:cs="Times New Roman" w:eastAsia="Times New Roman" w:hAnsi="Times New Roman"/>
          <w:b w:val="false"/>
          <w:bCs w:val="false"/>
          <w:i w:val="false"/>
          <w:iCs w:val="false"/>
          <w:sz w:val="22"/>
          <w:szCs w:val="22"/>
          <w:highlight w:val="yellow"/>
          <w:highlightCs w:val="yellow"/>
        </w:rPr>
        <w:t xml:space="preserve">[Fundstelle verifizieren]</w:t>
      </w:r>
      <w:r>
        <w:rPr>
          <w:rFonts w:ascii="Times New Roman" w:cs="Times New Roman" w:eastAsia="Times New Roman" w:hAnsi="Times New Roman"/>
          <w:sz w:val="22"/>
          <w:szCs w:val="22"/>
        </w:rPr>
        <w:t xml:space="preserve">). Dies ist der Beklagten angesichts des dokumentierten Erfassungsfehlers und des Ventildefekts nicht möglich.</w:t>
      </w:r>
    </w:p>
    <w:p>
      <w:pPr>
        <w:spacing w:after="120" w:before="0" w:line="300"/>
        <w:jc w:val="both"/>
      </w:pPr>
      <w:r>
        <w:rPr>
          <w:rFonts w:ascii="Times New Roman" w:cs="Times New Roman" w:eastAsia="Times New Roman" w:hAnsi="Times New Roman"/>
          <w:b/>
          <w:bCs/>
          <w:i w:val="false"/>
          <w:iCs w:val="false"/>
          <w:sz w:val="22"/>
          <w:szCs w:val="22"/>
        </w:rPr>
        <w:t xml:space="preserve">3.  Rechtsfolge: Schätzung nach § 9a HeizkostenV.  </w:t>
      </w:r>
      <w:r>
        <w:rPr>
          <w:rFonts w:ascii="Times New Roman" w:cs="Times New Roman" w:eastAsia="Times New Roman" w:hAnsi="Times New Roman"/>
          <w:sz w:val="22"/>
          <w:szCs w:val="22"/>
        </w:rPr>
        <w:t xml:space="preserve">Kann der anteilige Wärmeverbrauch wegen Geräteausfalls oder aus anderen zwingenden Gründen nicht ordnungsgemäß erfasst werden, ist er zu schätzen – vorrangig auf der Grundlage des Verbrauchs der betroffenen Räume in vergleichbaren früheren Abrechnungszeiträumen:</w:t>
      </w:r>
    </w:p>
    <w:tbl>
      <w:tblPr>
        <w:tblW w:type="dxa" w:w="9026"/>
        <w:tblBorders>
          <w:top w:val="single" w:color="BFC5CC" w:sz="4"/>
          <w:left w:val="single" w:color="BFC5CC" w:sz="4"/>
          <w:bottom w:val="single" w:color="BFC5CC" w:sz="4"/>
          <w:right w:val="single" w:color="BFC5CC" w:sz="4"/>
          <w:insideH w:val="single" w:color="BFC5CC" w:sz="4"/>
          <w:insideV w:val="single" w:color="BFC5CC" w:sz="4"/>
        </w:tblBorders>
      </w:tblPr>
      <w:tblGrid>
        <w:gridCol w:w="9026"/>
      </w:tblGrid>
      <w:tr>
        <w:tc>
          <w:tcPr>
            <w:tcW w:type="dxa" w:w="9026"/>
            <w:shd w:fill="F2F3F5" w:val="clear"/>
            <w:tcMar>
              <w:top w:type="dxa" w:w="120"/>
              <w:left w:type="dxa" w:w="160"/>
              <w:bottom w:type="dxa" w:w="120"/>
              <w:right w:type="dxa" w:w="160"/>
            </w:tcMar>
          </w:tcPr>
          <w:p>
            <w:pPr>
              <w:spacing w:after="60"/>
            </w:pPr>
            <w:r>
              <w:rPr>
                <w:rFonts w:ascii="Times New Roman" w:cs="Times New Roman" w:eastAsia="Times New Roman" w:hAnsi="Times New Roman"/>
                <w:b/>
                <w:bCs/>
                <w:sz w:val="20"/>
                <w:szCs w:val="20"/>
              </w:rPr>
              <w:t xml:space="preserve">§ 9a Abs. 1 HeizkostenV (Wortlaut, auszugsweise):</w:t>
            </w:r>
          </w:p>
          <w:p>
            <w:pPr>
              <w:spacing w:after="0" w:line="280"/>
              <w:jc w:val="both"/>
            </w:pPr>
            <w:r>
              <w:rPr>
                <w:rFonts w:ascii="Times New Roman" w:cs="Times New Roman" w:eastAsia="Times New Roman" w:hAnsi="Times New Roman"/>
                <w:i/>
                <w:iCs/>
                <w:sz w:val="20"/>
                <w:szCs w:val="20"/>
              </w:rPr>
              <w:t xml:space="preserve">„Kann der anteilige Wärme- oder Warmwasserverbrauch von Nutzern für einen Abrechnungszeitraum wegen Geräteausfalls oder aus anderen zwingenden Gründen nicht ordnungsgemäß erfasst werden, ist er […] auf der Grundlage des Verbrauchs der betroffenen Räume in vergleichbaren Zeiträumen oder des Verbrauchs vergleichbarer anderer Räume im jeweiligen Abrechnungszeitraum oder des Durchschnittsverbrauchs des Gebäudes oder der Nutzergruppe zu ermitteln.“</w:t>
            </w:r>
          </w:p>
        </w:tc>
      </w:tr>
    </w:tbl>
    <w:p>
      <w:pPr>
        <w:spacing w:after="120"/>
      </w:pPr>
    </w:p>
    <w:p>
      <w:pPr>
        <w:spacing w:after="120" w:before="0" w:line="300"/>
        <w:jc w:val="both"/>
      </w:pPr>
      <w:r>
        <w:rPr>
          <w:rFonts w:ascii="Times New Roman" w:cs="Times New Roman" w:eastAsia="Times New Roman" w:hAnsi="Times New Roman"/>
          <w:sz w:val="22"/>
          <w:szCs w:val="22"/>
        </w:rPr>
        <w:t xml:space="preserve">Maßgeblich ist danach der historische Normalverbrauch von rund 8.300 kWh p. a. Auf dieser Grundlage ergäben sich Heizkosten in der Größenordnung der Vorjahre (rund 1.000 bis 1.300 €, auch unter Berücksichtigung gestiegener Energiepreise) statt der abgerechneten 4.511,02 €. Ein Nachzahlungssaldo zulasten des Klägers entfiele vollständig; angesichts der geleisteten Vorauszahlungen ergäbe sich voraussichtlich ein Guthaben </w:t>
      </w:r>
      <w:r>
        <w:rPr>
          <w:rFonts w:ascii="Times New Roman" w:cs="Times New Roman" w:eastAsia="Times New Roman" w:hAnsi="Times New Roman"/>
          <w:b w:val="false"/>
          <w:bCs w:val="false"/>
          <w:i w:val="false"/>
          <w:iCs w:val="false"/>
          <w:sz w:val="22"/>
          <w:szCs w:val="22"/>
          <w:highlight w:val="yellow"/>
          <w:highlightCs w:val="yellow"/>
        </w:rPr>
        <w:t xml:space="preserve">[nach Vorlage der korrigierten Abrechnung exakt zu beziffern]</w:t>
      </w:r>
      <w:r>
        <w:rPr>
          <w:rFonts w:ascii="Times New Roman" w:cs="Times New Roman" w:eastAsia="Times New Roman" w:hAnsi="Times New Roman"/>
          <w:sz w:val="22"/>
          <w:szCs w:val="22"/>
        </w:rPr>
        <w:t xml:space="preserve">.</w:t>
      </w:r>
    </w:p>
    <w:p>
      <w:pPr>
        <w:spacing w:after="120" w:before="0" w:line="300"/>
        <w:jc w:val="both"/>
      </w:pPr>
      <w:r>
        <w:rPr>
          <w:rFonts w:ascii="Times New Roman" w:cs="Times New Roman" w:eastAsia="Times New Roman" w:hAnsi="Times New Roman"/>
          <w:b/>
          <w:bCs/>
          <w:i w:val="false"/>
          <w:iCs w:val="false"/>
          <w:sz w:val="22"/>
          <w:szCs w:val="22"/>
        </w:rPr>
        <w:t xml:space="preserve">4.  Hilfsweise: Kürzungsrecht nach § 12 Abs. 1 HeizkostenV.  </w:t>
      </w:r>
      <w:r>
        <w:rPr>
          <w:rFonts w:ascii="Times New Roman" w:cs="Times New Roman" w:eastAsia="Times New Roman" w:hAnsi="Times New Roman"/>
          <w:sz w:val="22"/>
          <w:szCs w:val="22"/>
        </w:rPr>
        <w:t xml:space="preserve">Selbst wenn eine Abrechnung auf der bisherigen Grundlage für zulässig gehalten würde, wäre der auf den Kläger entfallende Kostenanteil jedenfalls um 15 % zu kürzen, weil die Kosten nicht ordnungsgemäß verbrauchsabhängig abgerechnet worden sind:</w:t>
      </w:r>
    </w:p>
    <w:tbl>
      <w:tblPr>
        <w:tblW w:type="dxa" w:w="9026"/>
        <w:tblBorders>
          <w:top w:val="single" w:color="BFC5CC" w:sz="4"/>
          <w:left w:val="single" w:color="BFC5CC" w:sz="4"/>
          <w:bottom w:val="single" w:color="BFC5CC" w:sz="4"/>
          <w:right w:val="single" w:color="BFC5CC" w:sz="4"/>
          <w:insideH w:val="single" w:color="BFC5CC" w:sz="4"/>
          <w:insideV w:val="single" w:color="BFC5CC" w:sz="4"/>
        </w:tblBorders>
      </w:tblPr>
      <w:tblGrid>
        <w:gridCol w:w="9026"/>
      </w:tblGrid>
      <w:tr>
        <w:tc>
          <w:tcPr>
            <w:tcW w:type="dxa" w:w="9026"/>
            <w:shd w:fill="F2F3F5" w:val="clear"/>
            <w:tcMar>
              <w:top w:type="dxa" w:w="120"/>
              <w:left w:type="dxa" w:w="160"/>
              <w:bottom w:type="dxa" w:w="120"/>
              <w:right w:type="dxa" w:w="160"/>
            </w:tcMar>
          </w:tcPr>
          <w:p>
            <w:pPr>
              <w:spacing w:after="60"/>
            </w:pPr>
            <w:r>
              <w:rPr>
                <w:rFonts w:ascii="Times New Roman" w:cs="Times New Roman" w:eastAsia="Times New Roman" w:hAnsi="Times New Roman"/>
                <w:b/>
                <w:bCs/>
                <w:sz w:val="20"/>
                <w:szCs w:val="20"/>
              </w:rPr>
              <w:t xml:space="preserve">§ 12 Abs. 1 Satz 1 HeizkostenV (Wortlaut, auszugsweise):</w:t>
            </w:r>
          </w:p>
          <w:p>
            <w:pPr>
              <w:spacing w:after="0" w:line="280"/>
              <w:jc w:val="both"/>
            </w:pPr>
            <w:r>
              <w:rPr>
                <w:rFonts w:ascii="Times New Roman" w:cs="Times New Roman" w:eastAsia="Times New Roman" w:hAnsi="Times New Roman"/>
                <w:i/>
                <w:iCs/>
                <w:sz w:val="20"/>
                <w:szCs w:val="20"/>
              </w:rPr>
              <w:t xml:space="preserve">„Soweit die Kosten der Versorgung mit Wärme oder Warmwasser entgegen den Vorschriften dieser Verordnung nicht verbrauchsabhängig abgerechnet werden, hat der Nutzer das Recht, bei der nicht verbrauchsabhängigen Abrechnung der Kosten den auf ihn entfallenden Anteil um 15 vom Hundert zu kürzen.“</w:t>
            </w:r>
          </w:p>
        </w:tc>
      </w:tr>
    </w:tbl>
    <w:p>
      <w:pPr>
        <w:spacing w:after="120"/>
      </w:pPr>
    </w:p>
    <w:p>
      <w:pPr>
        <w:spacing w:after="120" w:before="0" w:line="300"/>
        <w:jc w:val="both"/>
      </w:pPr>
      <w:r>
        <w:rPr>
          <w:rFonts w:ascii="Times New Roman" w:cs="Times New Roman" w:eastAsia="Times New Roman" w:hAnsi="Times New Roman"/>
          <w:b/>
          <w:bCs/>
          <w:i w:val="false"/>
          <w:iCs w:val="false"/>
          <w:sz w:val="22"/>
          <w:szCs w:val="22"/>
        </w:rPr>
        <w:t xml:space="preserve">5.  Weiter hilfsweise: CO₂-Kostenaufteilung.  </w:t>
      </w:r>
      <w:r>
        <w:rPr>
          <w:rFonts w:ascii="Times New Roman" w:cs="Times New Roman" w:eastAsia="Times New Roman" w:hAnsi="Times New Roman"/>
          <w:sz w:val="22"/>
          <w:szCs w:val="22"/>
        </w:rPr>
        <w:t xml:space="preserve">Vorsorglich wird gerügt, dass die Abrechnungen 2023 und 2024 keine bzw. keine ordnungsgemäße Aufteilung der CO₂-Kosten zwischen Vermieter und Mieter nach dem Kohlendioxidkostenaufteilungsgesetz (CO2KostAufG) erkennen lassen </w:t>
      </w:r>
      <w:r>
        <w:rPr>
          <w:rFonts w:ascii="Times New Roman" w:cs="Times New Roman" w:eastAsia="Times New Roman" w:hAnsi="Times New Roman"/>
          <w:b w:val="false"/>
          <w:bCs w:val="false"/>
          <w:i w:val="false"/>
          <w:iCs w:val="false"/>
          <w:sz w:val="22"/>
          <w:szCs w:val="22"/>
          <w:highlight w:val="yellow"/>
          <w:highlightCs w:val="yellow"/>
        </w:rPr>
        <w:t xml:space="preserve">[anhand der Abrechnungen prüfen]</w:t>
      </w:r>
      <w:r>
        <w:rPr>
          <w:rFonts w:ascii="Times New Roman" w:cs="Times New Roman" w:eastAsia="Times New Roman" w:hAnsi="Times New Roman"/>
          <w:sz w:val="22"/>
          <w:szCs w:val="22"/>
        </w:rPr>
        <w:t xml:space="preserve">. In diesem Fall ist der auf den Kläger entfallende Anteil an den Heizkosten um weitere 3 % zu kürzen (§ 7 Abs. 4 CO2KostAufG </w:t>
      </w:r>
      <w:r>
        <w:rPr>
          <w:rFonts w:ascii="Times New Roman" w:cs="Times New Roman" w:eastAsia="Times New Roman" w:hAnsi="Times New Roman"/>
          <w:b w:val="false"/>
          <w:bCs w:val="false"/>
          <w:i w:val="false"/>
          <w:iCs w:val="false"/>
          <w:sz w:val="22"/>
          <w:szCs w:val="22"/>
          <w:highlight w:val="yellow"/>
          <w:highlightCs w:val="yellow"/>
        </w:rPr>
        <w:t xml:space="preserve">[Norm verifizieren]</w:t>
      </w:r>
      <w:r>
        <w:rPr>
          <w:rFonts w:ascii="Times New Roman" w:cs="Times New Roman" w:eastAsia="Times New Roman" w:hAnsi="Times New Roman"/>
          <w:sz w:val="22"/>
          <w:szCs w:val="22"/>
        </w:rPr>
        <w:t xml:space="preserve">).</w:t>
      </w:r>
    </w:p>
    <w:p>
      <w:pPr>
        <w:spacing w:after="120" w:before="0" w:line="300"/>
        <w:jc w:val="both"/>
      </w:pPr>
      <w:r>
        <w:rPr>
          <w:rFonts w:ascii="Times New Roman" w:cs="Times New Roman" w:eastAsia="Times New Roman" w:hAnsi="Times New Roman"/>
          <w:b/>
          <w:bCs/>
          <w:i w:val="false"/>
          <w:iCs w:val="false"/>
          <w:sz w:val="22"/>
          <w:szCs w:val="22"/>
        </w:rPr>
        <w:t xml:space="preserve">6.  Zurückbehaltungsrecht bis zur Belegeinsicht.  </w:t>
      </w:r>
      <w:r>
        <w:rPr>
          <w:rFonts w:ascii="Times New Roman" w:cs="Times New Roman" w:eastAsia="Times New Roman" w:hAnsi="Times New Roman"/>
          <w:sz w:val="22"/>
          <w:szCs w:val="22"/>
        </w:rPr>
        <w:t xml:space="preserve">Unabhängig davon ist der Kläger berechtigt, eine etwaige Nachzahlung jedenfalls bis zur Gewährung vollständiger Belegeinsicht (Antrag zu VI.) zurückzuhalten (§ 273 BGB). Auch deshalb besteht derzeit kein fälliger, durchsetzbarer Anspruch der Beklagten.</w:t>
      </w:r>
    </w:p>
    <w:p>
      <w:pPr>
        <w:spacing w:after="120" w:before="0" w:line="300"/>
        <w:jc w:val="both"/>
      </w:pPr>
      <w:r>
        <w:rPr>
          <w:rFonts w:ascii="Times New Roman" w:cs="Times New Roman" w:eastAsia="Times New Roman" w:hAnsi="Times New Roman"/>
          <w:b/>
          <w:bCs/>
          <w:i w:val="false"/>
          <w:iCs w:val="false"/>
          <w:sz w:val="22"/>
          <w:szCs w:val="22"/>
        </w:rPr>
        <w:t xml:space="preserve">7.  Treuwidrigkeit der Mahnung (§ 242 BGB).  </w:t>
      </w:r>
      <w:r>
        <w:rPr>
          <w:rFonts w:ascii="Times New Roman" w:cs="Times New Roman" w:eastAsia="Times New Roman" w:hAnsi="Times New Roman"/>
          <w:sz w:val="22"/>
          <w:szCs w:val="22"/>
        </w:rPr>
        <w:t xml:space="preserve">Die Beklagte mahnt eine Forderung an, deren Grundlage ihr eigener Messdienstleister seit Februar 2025 als „vermutlich nicht korrekt“ bezeichnet und deren Berichtigung sie selbst hat anbieten lassen. Wer die zugesagte Korrektur über Monate nicht liefert, zugleich aber die unkorrigierte Forderung anmahnt und Klage androht, setzt sich zu seinem eigenen Verhalten in Widerspruch.</w:t>
      </w:r>
    </w:p>
    <w:p>
      <w:pPr>
        <w:spacing w:after="120" w:before="0" w:line="300"/>
        <w:jc w:val="both"/>
      </w:pPr>
      <w:r>
        <w:rPr>
          <w:rFonts w:ascii="Times New Roman" w:cs="Times New Roman" w:eastAsia="Times New Roman" w:hAnsi="Times New Roman"/>
          <w:b/>
          <w:bCs/>
          <w:i w:val="false"/>
          <w:iCs w:val="false"/>
          <w:sz w:val="22"/>
          <w:szCs w:val="22"/>
        </w:rPr>
        <w:t xml:space="preserve">8.  Höchst hilfsweise: Aufrechnung.  </w:t>
      </w:r>
      <w:r>
        <w:rPr>
          <w:rFonts w:ascii="Times New Roman" w:cs="Times New Roman" w:eastAsia="Times New Roman" w:hAnsi="Times New Roman"/>
          <w:sz w:val="22"/>
          <w:szCs w:val="22"/>
        </w:rPr>
        <w:t xml:space="preserve">Rein vorsorglich erklärt der Kläger gegenüber einem etwa verbleibenden Saldo aus der Abrechnung 2024 die Aufrechnung (§§ 387, 388 BGB) mit seinen Gegenforderungen gemäß Antrag zu II. (Rückzahlung 1.674,52 € und Minderungsbetrag 1.500,00 €).</w:t>
      </w:r>
    </w:p>
    <w:p>
      <w:pPr>
        <w:spacing w:after="100" w:before="200"/>
      </w:pPr>
      <w:r>
        <w:rPr>
          <w:rFonts w:ascii="Times New Roman" w:cs="Times New Roman" w:eastAsia="Times New Roman" w:hAnsi="Times New Roman"/>
          <w:b/>
          <w:bCs/>
          <w:sz w:val="22"/>
          <w:szCs w:val="22"/>
        </w:rPr>
        <w:t xml:space="preserve">III.  Zum Antrag zu II.: Zahlungsanspruch des Klägers in Höhe von 3.174,52 €</w:t>
      </w:r>
    </w:p>
    <w:p>
      <w:pPr>
        <w:spacing w:after="120" w:before="0" w:line="300"/>
        <w:jc w:val="both"/>
      </w:pPr>
      <w:r>
        <w:rPr>
          <w:rFonts w:ascii="Times New Roman" w:cs="Times New Roman" w:eastAsia="Times New Roman" w:hAnsi="Times New Roman"/>
          <w:b/>
          <w:bCs/>
          <w:i w:val="false"/>
          <w:iCs w:val="false"/>
          <w:sz w:val="22"/>
          <w:szCs w:val="22"/>
        </w:rPr>
        <w:t xml:space="preserve">1.  Rückzahlung der Nachforderung 2023 (1.674,52 €), § 812 Abs. 1 Satz 1 Alt. 1 BGB.  </w:t>
      </w:r>
      <w:r>
        <w:rPr>
          <w:rFonts w:ascii="Times New Roman" w:cs="Times New Roman" w:eastAsia="Times New Roman" w:hAnsi="Times New Roman"/>
          <w:sz w:val="22"/>
          <w:szCs w:val="22"/>
        </w:rPr>
        <w:t xml:space="preserve">Die Zahlung erfolgte ohne Rechtsgrund: Die Abrechnung 2023 beruht auf dem von Techem eingeräumten Erfassungsfehler (62.508,90 kWh nach Nullverbrauch im Vorjahr) und dem Ventildefekt. Bei zutreffender Ermittlung nach § 9a HeizkostenV (Ø 8.278 kWh) hätte sich keine Nachforderung, sondern voraussichtlich ein Guthaben ergeben. Der Kläger zahlte ausdrücklich unter Vorbehalt; § 814 BGB steht der Rückforderung deshalb nicht entgegen. Die Darlegungs- und Beweislast für die Richtigkeit der Abrechnung liegt bei der Beklagten (oben II.2.).</w:t>
      </w:r>
    </w:p>
    <w:p>
      <w:pPr>
        <w:spacing w:after="120" w:before="0" w:line="300"/>
        <w:jc w:val="both"/>
      </w:pPr>
      <w:r>
        <w:rPr>
          <w:rFonts w:ascii="Times New Roman" w:cs="Times New Roman" w:eastAsia="Times New Roman" w:hAnsi="Times New Roman"/>
          <w:b/>
          <w:bCs/>
          <w:i w:val="false"/>
          <w:iCs w:val="false"/>
          <w:sz w:val="22"/>
          <w:szCs w:val="22"/>
        </w:rPr>
        <w:t xml:space="preserve">2.  Minderung (1.500,00 €), § 536 Abs. 1 Satz 2 BGB.  </w:t>
      </w:r>
      <w:r>
        <w:rPr>
          <w:rFonts w:ascii="Times New Roman" w:cs="Times New Roman" w:eastAsia="Times New Roman" w:hAnsi="Times New Roman"/>
          <w:sz w:val="22"/>
          <w:szCs w:val="22"/>
        </w:rPr>
        <w:t xml:space="preserve">Der unkontrollierbare Dauerheizbetrieb des Schlafzimmerheizkörpers stellte einen erheblichen Mangel dar: Überhitzung des Schlafraums, Beeinträchtigung der Nachtruhe, keinerlei Regelungsmöglichkeit, aufgezwungener Energieverbrauch zulasten des Klägers. Die Miete war für den Mangelzeitraum kraft Gesetzes gemindert:</w:t>
      </w:r>
    </w:p>
    <w:tbl>
      <w:tblPr>
        <w:tblW w:type="dxa" w:w="9026"/>
        <w:tblBorders>
          <w:top w:val="single" w:color="BFC5CC" w:sz="4"/>
          <w:left w:val="single" w:color="BFC5CC" w:sz="4"/>
          <w:bottom w:val="single" w:color="BFC5CC" w:sz="4"/>
          <w:right w:val="single" w:color="BFC5CC" w:sz="4"/>
          <w:insideH w:val="single" w:color="BFC5CC" w:sz="4"/>
          <w:insideV w:val="single" w:color="BFC5CC" w:sz="4"/>
        </w:tblBorders>
      </w:tblPr>
      <w:tblGrid>
        <w:gridCol w:w="9026"/>
      </w:tblGrid>
      <w:tr>
        <w:tc>
          <w:tcPr>
            <w:tcW w:type="dxa" w:w="9026"/>
            <w:shd w:fill="F2F3F5" w:val="clear"/>
            <w:tcMar>
              <w:top w:type="dxa" w:w="120"/>
              <w:left w:type="dxa" w:w="160"/>
              <w:bottom w:type="dxa" w:w="120"/>
              <w:right w:type="dxa" w:w="160"/>
            </w:tcMar>
          </w:tcPr>
          <w:p>
            <w:pPr>
              <w:spacing w:after="60"/>
            </w:pPr>
            <w:r>
              <w:rPr>
                <w:rFonts w:ascii="Times New Roman" w:cs="Times New Roman" w:eastAsia="Times New Roman" w:hAnsi="Times New Roman"/>
                <w:b/>
                <w:bCs/>
                <w:sz w:val="20"/>
                <w:szCs w:val="20"/>
              </w:rPr>
              <w:t xml:space="preserve">§ 536 Abs. 1 BGB (Wortlaut, auszugsweise):</w:t>
            </w:r>
          </w:p>
          <w:p>
            <w:pPr>
              <w:spacing w:after="0" w:line="280"/>
              <w:jc w:val="both"/>
            </w:pPr>
            <w:r>
              <w:rPr>
                <w:rFonts w:ascii="Times New Roman" w:cs="Times New Roman" w:eastAsia="Times New Roman" w:hAnsi="Times New Roman"/>
                <w:i/>
                <w:iCs/>
                <w:sz w:val="20"/>
                <w:szCs w:val="20"/>
              </w:rPr>
              <w:t xml:space="preserve">„Hat die Mietsache zur Zeit der Überlassung an den Mieter einen Mangel, der ihre Tauglichkeit zum vertragsgemäßen Gebrauch aufhebt, oder entsteht während der Mietzeit ein solcher Mangel, so ist der Mieter für die Zeit, in der die Tauglichkeit aufgehoben ist, von der Entrichtung der Miete befreit. Für die Zeit, während der die Tauglichkeit gemindert ist, hat er nur eine angemessen herabgesetzte Miete zu entrichten.“</w:t>
            </w:r>
          </w:p>
        </w:tc>
      </w:tr>
    </w:tbl>
    <w:p>
      <w:pPr>
        <w:spacing w:after="120"/>
      </w:pPr>
    </w:p>
    <w:p>
      <w:pPr>
        <w:spacing w:after="120" w:before="0" w:line="300"/>
        <w:jc w:val="both"/>
      </w:pPr>
      <w:r>
        <w:rPr>
          <w:rFonts w:ascii="Times New Roman" w:cs="Times New Roman" w:eastAsia="Times New Roman" w:hAnsi="Times New Roman"/>
          <w:sz w:val="22"/>
          <w:szCs w:val="22"/>
        </w:rPr>
        <w:t xml:space="preserve">Der Kläger macht insoweit einen </w:t>
      </w:r>
      <w:r>
        <w:rPr>
          <w:rFonts w:ascii="Times New Roman" w:cs="Times New Roman" w:eastAsia="Times New Roman" w:hAnsi="Times New Roman"/>
          <w:b/>
          <w:bCs/>
          <w:i w:val="false"/>
          <w:iCs w:val="false"/>
          <w:sz w:val="22"/>
          <w:szCs w:val="22"/>
        </w:rPr>
        <w:t xml:space="preserve">Mindestbetrag von 1.500,00 €</w:t>
      </w:r>
      <w:r>
        <w:rPr>
          <w:rFonts w:ascii="Times New Roman" w:cs="Times New Roman" w:eastAsia="Times New Roman" w:hAnsi="Times New Roman"/>
          <w:sz w:val="22"/>
          <w:szCs w:val="22"/>
        </w:rPr>
        <w:t xml:space="preserve"> geltend. Dies entspricht bei einer Bruttomiete von ca. </w:t>
      </w:r>
      <w:r>
        <w:rPr>
          <w:rFonts w:ascii="Times New Roman" w:cs="Times New Roman" w:eastAsia="Times New Roman" w:hAnsi="Times New Roman"/>
          <w:b w:val="false"/>
          <w:bCs w:val="false"/>
          <w:i w:val="false"/>
          <w:iCs w:val="false"/>
          <w:sz w:val="22"/>
          <w:szCs w:val="22"/>
          <w:highlight w:val="yellow"/>
          <w:highlightCs w:val="yellow"/>
        </w:rPr>
        <w:t xml:space="preserve">[Betrag]</w:t>
      </w:r>
      <w:r>
        <w:rPr>
          <w:rFonts w:ascii="Times New Roman" w:cs="Times New Roman" w:eastAsia="Times New Roman" w:hAnsi="Times New Roman"/>
          <w:sz w:val="22"/>
          <w:szCs w:val="22"/>
        </w:rPr>
        <w:t xml:space="preserve"> € monatlich einer maßvollen Minderungsquote von rund 5 % für den Zeitraum von der Mängelanzeige vom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bis zur Instandsetzung im April 2026 (</w:t>
      </w:r>
      <w:r>
        <w:rPr>
          <w:rFonts w:ascii="Times New Roman" w:cs="Times New Roman" w:eastAsia="Times New Roman" w:hAnsi="Times New Roman"/>
          <w:b w:val="false"/>
          <w:bCs w:val="false"/>
          <w:i w:val="false"/>
          <w:iCs w:val="false"/>
          <w:sz w:val="22"/>
          <w:szCs w:val="22"/>
          <w:highlight w:val="yellow"/>
          <w:highlightCs w:val="yellow"/>
        </w:rPr>
        <w:t xml:space="preserve">[Anzahl]</w:t>
      </w:r>
      <w:r>
        <w:rPr>
          <w:rFonts w:ascii="Times New Roman" w:cs="Times New Roman" w:eastAsia="Times New Roman" w:hAnsi="Times New Roman"/>
          <w:sz w:val="22"/>
          <w:szCs w:val="22"/>
        </w:rPr>
        <w:t xml:space="preserve"> Monate). Die überzahlte Miete ist nach § 812 Abs. 1 Satz 1 Alt. 1 BGB zurückzuzahlen. Eine monatsgenaue Aufstellung bleibt einem gesonderten Schriftsatz vorbehalten; die Geltendmachung erfolgt ausdrücklich als Teil- bzw. Mindestbetrag.</w:t>
      </w:r>
    </w:p>
    <w:p>
      <w:pPr>
        <w:spacing w:after="100" w:before="200"/>
      </w:pPr>
      <w:r>
        <w:rPr>
          <w:rFonts w:ascii="Times New Roman" w:cs="Times New Roman" w:eastAsia="Times New Roman" w:hAnsi="Times New Roman"/>
          <w:b/>
          <w:bCs/>
          <w:sz w:val="22"/>
          <w:szCs w:val="22"/>
        </w:rPr>
        <w:t xml:space="preserve">IV.  Zum Antrag zu III.: Keine Pflicht zur Zustimmung zur Mieterhöhung vom 26.06.2026</w:t>
      </w:r>
    </w:p>
    <w:p>
      <w:pPr>
        <w:spacing w:after="120" w:before="0" w:line="300"/>
        <w:jc w:val="both"/>
      </w:pPr>
      <w:r>
        <w:rPr>
          <w:rFonts w:ascii="Times New Roman" w:cs="Times New Roman" w:eastAsia="Times New Roman" w:hAnsi="Times New Roman"/>
          <w:b/>
          <w:bCs/>
          <w:i w:val="false"/>
          <w:iCs w:val="false"/>
          <w:sz w:val="22"/>
          <w:szCs w:val="22"/>
        </w:rPr>
        <w:t xml:space="preserve">1.  Formelle Unwirksamkeit.</w:t>
      </w:r>
    </w:p>
    <w:p>
      <w:pPr>
        <w:spacing w:after="120" w:before="0" w:line="300"/>
        <w:ind w:left="567"/>
        <w:jc w:val="both"/>
      </w:pPr>
      <w:r>
        <w:rPr>
          <w:rFonts w:ascii="Times New Roman" w:cs="Times New Roman" w:eastAsia="Times New Roman" w:hAnsi="Times New Roman"/>
          <w:sz w:val="22"/>
          <w:szCs w:val="22"/>
        </w:rPr>
        <w:t xml:space="preserve">a)  Das Erhöhungsverlangen wurde im Namen der Becker &amp; Kries Grundstücks GmbH &amp; Co. KG gestellt, während als Vertragspartnerin des Klägers ausweislich des Nachtrags vom 28.03.2019 die Becker &amp; Kries Immobilien Management GmbH ausgewiesen ist; das Vertretungsverhältnis wird in dem Schreiben nicht offengelegt </w:t>
      </w:r>
      <w:r>
        <w:rPr>
          <w:rFonts w:ascii="Times New Roman" w:cs="Times New Roman" w:eastAsia="Times New Roman" w:hAnsi="Times New Roman"/>
          <w:b w:val="false"/>
          <w:bCs w:val="false"/>
          <w:i w:val="false"/>
          <w:iCs w:val="false"/>
          <w:sz w:val="22"/>
          <w:szCs w:val="22"/>
          <w:highlight w:val="yellow"/>
          <w:highlightCs w:val="yellow"/>
        </w:rPr>
        <w:t xml:space="preserve">[Konstellation zwingend klären – interne Anmerkung Nr. 1]</w:t>
      </w:r>
      <w:r>
        <w:rPr>
          <w:rFonts w:ascii="Times New Roman" w:cs="Times New Roman" w:eastAsia="Times New Roman" w:hAnsi="Times New Roman"/>
          <w:sz w:val="22"/>
          <w:szCs w:val="22"/>
        </w:rPr>
        <w:t xml:space="preserve">.</w:t>
      </w:r>
    </w:p>
    <w:p>
      <w:pPr>
        <w:spacing w:after="120" w:before="0" w:line="300"/>
        <w:ind w:left="567"/>
        <w:jc w:val="both"/>
      </w:pPr>
      <w:r>
        <w:rPr>
          <w:rFonts w:ascii="Times New Roman" w:cs="Times New Roman" w:eastAsia="Times New Roman" w:hAnsi="Times New Roman"/>
          <w:sz w:val="22"/>
          <w:szCs w:val="22"/>
        </w:rPr>
        <w:t xml:space="preserve">b)  Jedenfalls hat der Kläger das ohne Vorlage einer Vollmachtsurkunde gestellte Erhöhungsverlangen mit Schreiben vom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unverzüglich entsprechend § 174 Satz 1 BGB zurückgewiesen (Anlage K 12). Das Erhöhungsverlangen ist bereits deshalb unwirksam.</w:t>
      </w:r>
    </w:p>
    <w:p>
      <w:pPr>
        <w:spacing w:after="120" w:before="0" w:line="300"/>
        <w:ind w:left="567"/>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b w:val="false"/>
          <w:bCs w:val="false"/>
          <w:i w:val="false"/>
          <w:iCs w:val="false"/>
          <w:sz w:val="22"/>
          <w:szCs w:val="22"/>
          <w:highlight w:val="yellow"/>
          <w:highlightCs w:val="yellow"/>
        </w:rPr>
        <w:t xml:space="preserve">[Ggf.:]</w:t>
      </w:r>
      <w:r>
        <w:rPr>
          <w:rFonts w:ascii="Times New Roman" w:cs="Times New Roman" w:eastAsia="Times New Roman" w:hAnsi="Times New Roman"/>
          <w:sz w:val="22"/>
          <w:szCs w:val="22"/>
        </w:rPr>
        <w:t xml:space="preserve"> Das Erhöhungsverlangen stützt sich auf den Berliner Mietspiegel 2024, obwohl bei seinem Zugang bereits der qualifizierte Berliner Mietspiegel 2026 (in Kraft seit 28.05.2026) veröffentlicht war </w:t>
      </w:r>
      <w:r>
        <w:rPr>
          <w:rFonts w:ascii="Times New Roman" w:cs="Times New Roman" w:eastAsia="Times New Roman" w:hAnsi="Times New Roman"/>
          <w:b w:val="false"/>
          <w:bCs w:val="false"/>
          <w:i w:val="false"/>
          <w:iCs w:val="false"/>
          <w:sz w:val="22"/>
          <w:szCs w:val="22"/>
          <w:highlight w:val="yellow"/>
          <w:highlightCs w:val="yellow"/>
        </w:rPr>
        <w:t xml:space="preserve">[prüfen; ggf. Begründungs­mangel rügen; jedenfalls ist materiell der aktuelle Mietspiegel maßgeblich]</w:t>
      </w:r>
      <w:r>
        <w:rPr>
          <w:rFonts w:ascii="Times New Roman" w:cs="Times New Roman" w:eastAsia="Times New Roman" w:hAnsi="Times New Roman"/>
          <w:sz w:val="22"/>
          <w:szCs w:val="22"/>
        </w:rPr>
        <w:t xml:space="preserve">.</w:t>
      </w:r>
    </w:p>
    <w:p>
      <w:pPr>
        <w:spacing w:after="120" w:before="0" w:line="300"/>
        <w:jc w:val="both"/>
      </w:pPr>
      <w:r>
        <w:rPr>
          <w:rFonts w:ascii="Times New Roman" w:cs="Times New Roman" w:eastAsia="Times New Roman" w:hAnsi="Times New Roman"/>
          <w:b/>
          <w:bCs/>
          <w:i w:val="false"/>
          <w:iCs w:val="false"/>
          <w:sz w:val="22"/>
          <w:szCs w:val="22"/>
        </w:rPr>
        <w:t xml:space="preserve">2.  Materielle Unbegründetheit.  </w:t>
      </w:r>
      <w:r>
        <w:rPr>
          <w:rFonts w:ascii="Times New Roman" w:cs="Times New Roman" w:eastAsia="Times New Roman" w:hAnsi="Times New Roman"/>
          <w:sz w:val="22"/>
          <w:szCs w:val="22"/>
        </w:rPr>
        <w:t xml:space="preserve">Die geforderten 11,75 €/m² überschreiten die ortsübliche Vergleichsmiete. Die Spanneneinordnung der Beklagten anhand der Orientierungshilfe zum Berliner Mietspiegel ist in mehreren Merkmalgruppen unzutreffend:</w:t>
      </w:r>
    </w:p>
    <w:tbl>
      <w:tblPr>
        <w:tblW w:type="dxa" w:w="9026"/>
        <w:tblBorders>
          <w:top w:val="single" w:color="9AA0A6" w:sz="4"/>
          <w:left w:val="single" w:color="9AA0A6" w:sz="4"/>
          <w:bottom w:val="single" w:color="9AA0A6" w:sz="4"/>
          <w:right w:val="single" w:color="9AA0A6" w:sz="4"/>
          <w:insideH w:val="single" w:color="9AA0A6" w:sz="4"/>
          <w:insideV w:val="single" w:color="9AA0A6" w:sz="4"/>
        </w:tblBorders>
      </w:tblPr>
      <w:tblGrid>
        <w:gridCol w:w="1750"/>
        <w:gridCol w:w="2300"/>
        <w:gridCol w:w="2750"/>
        <w:gridCol w:w="2226"/>
      </w:tblGrid>
      <w:tr>
        <w:trPr>
          <w:tblHeader/>
        </w:trPr>
        <w:tc>
          <w:tcPr>
            <w:tcW w:type="dxa" w:w="175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Merkmalgruppe</w:t>
            </w:r>
          </w:p>
        </w:tc>
        <w:tc>
          <w:tcPr>
            <w:tcW w:type="dxa" w:w="230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Ansatz der Beklagten</w:t>
            </w:r>
          </w:p>
        </w:tc>
        <w:tc>
          <w:tcPr>
            <w:tcW w:type="dxa" w:w="275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Tatsächlicher Befund</w:t>
            </w:r>
          </w:p>
        </w:tc>
        <w:tc>
          <w:tcPr>
            <w:tcW w:type="dxa" w:w="2226"/>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Zutreffende Bewertung</w:t>
            </w:r>
          </w:p>
        </w:tc>
      </w:tr>
      <w:tr>
        <w:tc>
          <w:tcPr>
            <w:tcW w:type="dxa" w:w="1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Stellplatz</w:t>
            </w:r>
          </w:p>
        </w:tc>
        <w:tc>
          <w:tcPr>
            <w:tcW w:type="dxa" w:w="2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wohnwerterhöhend („vom Vermieter gestellter Parkplatz“)</w:t>
            </w:r>
          </w:p>
        </w:tc>
        <w:tc>
          <w:tcPr>
            <w:tcW w:type="dxa" w:w="2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Dem Kläger ist mietvertraglich kein Stellplatz überlassen; er nutzt keinen und hat nie einen genutzt</w:t>
            </w:r>
          </w:p>
        </w:tc>
        <w:tc>
          <w:tcPr>
            <w:tcW w:type="dxa" w:w="22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Merkmal entfällt</w:t>
            </w:r>
          </w:p>
        </w:tc>
      </w:tr>
      <w:tr>
        <w:tc>
          <w:tcPr>
            <w:tcW w:type="dxa" w:w="1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Bodenbelag</w:t>
            </w:r>
          </w:p>
        </w:tc>
        <w:tc>
          <w:tcPr>
            <w:tcW w:type="dxa" w:w="2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wohnwerterhöhend („hochwertig“)</w:t>
            </w:r>
          </w:p>
        </w:tc>
        <w:tc>
          <w:tcPr>
            <w:tcW w:type="dxa" w:w="2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Altes, stark abgenutztes Laminat</w:t>
            </w:r>
          </w:p>
        </w:tc>
        <w:tc>
          <w:tcPr>
            <w:tcW w:type="dxa" w:w="22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Merkmal entfällt; ggf. wohnwertmindernd</w:t>
            </w:r>
          </w:p>
        </w:tc>
      </w:tr>
      <w:tr>
        <w:tc>
          <w:tcPr>
            <w:tcW w:type="dxa" w:w="1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Wohnlage</w:t>
            </w:r>
          </w:p>
        </w:tc>
        <w:tc>
          <w:tcPr>
            <w:tcW w:type="dxa" w:w="2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„bevorzugte City-Lage“</w:t>
            </w:r>
          </w:p>
        </w:tc>
        <w:tc>
          <w:tcPr>
            <w:tcW w:type="dxa" w:w="2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Lage unmittelbar an stark befahrener Hauptstraße; Maisonette mit Lärmeintrag über zwei Etagen</w:t>
            </w:r>
          </w:p>
        </w:tc>
        <w:tc>
          <w:tcPr>
            <w:tcW w:type="dxa" w:w="22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Neutralisiert durch besonders lärmbelastete Lage</w:t>
            </w:r>
          </w:p>
        </w:tc>
      </w:tr>
      <w:tr>
        <w:tc>
          <w:tcPr>
            <w:tcW w:type="dxa" w:w="1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Heizanlage / Energie</w:t>
            </w:r>
          </w:p>
        </w:tc>
        <w:tc>
          <w:tcPr>
            <w:tcW w:type="dxa" w:w="23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wohnwertmindernd −20 % (von der Beklagten selbst angesetzt: „ungünstiger Wirkungsgrad, vor 1995“)</w:t>
            </w:r>
          </w:p>
        </w:tc>
        <w:tc>
          <w:tcPr>
            <w:tcW w:type="dxa" w:w="275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Zutreffend; zusätzlich dokumentiert mangelhaft (Ventildefekt, Erfassungsfehler)</w:t>
            </w:r>
          </w:p>
        </w:tc>
        <w:tc>
          <w:tcPr>
            <w:tcW w:type="dxa" w:w="22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Bleibt wohnwertmindernd</w:t>
            </w:r>
          </w:p>
        </w:tc>
      </w:tr>
    </w:tbl>
    <w:p>
      <w:pPr>
        <w:spacing w:after="240" w:before="60"/>
        <w:jc w:val="center"/>
      </w:pPr>
      <w:r>
        <w:rPr>
          <w:rFonts w:ascii="Times New Roman" w:cs="Times New Roman" w:eastAsia="Times New Roman" w:hAnsi="Times New Roman"/>
          <w:i/>
          <w:iCs/>
          <w:sz w:val="19"/>
          <w:szCs w:val="19"/>
        </w:rPr>
        <w:t xml:space="preserve">Tabelle 3: Korrektur der Spanneneinordnung (Orientierungshilfe zum Berliner Mietspiegel).</w:t>
      </w:r>
    </w:p>
    <w:p>
      <w:pPr>
        <w:spacing w:after="120" w:before="0" w:line="300"/>
        <w:jc w:val="both"/>
      </w:pPr>
      <w:r>
        <w:rPr>
          <w:rFonts w:ascii="Times New Roman" w:cs="Times New Roman" w:eastAsia="Times New Roman" w:hAnsi="Times New Roman"/>
          <w:sz w:val="22"/>
          <w:szCs w:val="22"/>
        </w:rPr>
        <w:t xml:space="preserve">Bei zutreffender Einordnung liegt die ortsübliche Vergleichsmiete für die Wohnung unterhalb der bereits vereinbarten 10,66 €/m² </w:t>
      </w:r>
      <w:r>
        <w:rPr>
          <w:rFonts w:ascii="Times New Roman" w:cs="Times New Roman" w:eastAsia="Times New Roman" w:hAnsi="Times New Roman"/>
          <w:b w:val="false"/>
          <w:bCs w:val="false"/>
          <w:i w:val="false"/>
          <w:iCs w:val="false"/>
          <w:sz w:val="22"/>
          <w:szCs w:val="22"/>
          <w:highlight w:val="yellow"/>
          <w:highlightCs w:val="yellow"/>
        </w:rPr>
        <w:t xml:space="preserve">[Berechnung anhand Mietspiegel 2026, Feld ___, ergänzen]</w:t>
      </w:r>
      <w:r>
        <w:rPr>
          <w:rFonts w:ascii="Times New Roman" w:cs="Times New Roman" w:eastAsia="Times New Roman" w:hAnsi="Times New Roman"/>
          <w:sz w:val="22"/>
          <w:szCs w:val="22"/>
        </w:rPr>
        <w:t xml:space="preserve">; für eine Erhöhung ist kein Raum.</w:t>
      </w:r>
    </w:p>
    <w:p>
      <w:pPr>
        <w:spacing w:after="200" w:line="280"/>
        <w:ind w:left="567"/>
      </w:pPr>
      <w:r>
        <w:rPr>
          <w:rFonts w:ascii="Times New Roman" w:cs="Times New Roman" w:eastAsia="Times New Roman" w:hAnsi="Times New Roman"/>
          <w:b/>
          <w:bCs/>
          <w:i/>
          <w:iCs/>
          <w:sz w:val="20"/>
          <w:szCs w:val="20"/>
        </w:rPr>
        <w:t xml:space="preserve">Beweis:  </w:t>
      </w:r>
      <w:r>
        <w:rPr>
          <w:rFonts w:ascii="Times New Roman" w:cs="Times New Roman" w:eastAsia="Times New Roman" w:hAnsi="Times New Roman"/>
          <w:i/>
          <w:iCs/>
          <w:sz w:val="20"/>
          <w:szCs w:val="20"/>
        </w:rPr>
        <w:t xml:space="preserve">Lichtbilder Bodenbelag – Anlagenkonvolut K 13;  Augenschein;  Sachverständigengutachten;  Berliner Mietspiegel 2026 nebst Orientierungshilfe</w:t>
      </w:r>
    </w:p>
    <w:p>
      <w:pPr>
        <w:spacing w:after="120" w:before="0" w:line="300"/>
        <w:jc w:val="both"/>
      </w:pPr>
      <w:r>
        <w:rPr>
          <w:rFonts w:ascii="Times New Roman" w:cs="Times New Roman" w:eastAsia="Times New Roman" w:hAnsi="Times New Roman"/>
          <w:b/>
          <w:bCs/>
          <w:i w:val="false"/>
          <w:iCs w:val="false"/>
          <w:sz w:val="22"/>
          <w:szCs w:val="22"/>
        </w:rPr>
        <w:t xml:space="preserve">3.  Ergänzend: Treuwidrigkeit.  </w:t>
      </w:r>
      <w:r>
        <w:rPr>
          <w:rFonts w:ascii="Times New Roman" w:cs="Times New Roman" w:eastAsia="Times New Roman" w:hAnsi="Times New Roman"/>
          <w:sz w:val="22"/>
          <w:szCs w:val="22"/>
        </w:rPr>
        <w:t xml:space="preserve">Mit Treu und Glauben (§ 242 BGB) ist es zudem schwer vereinbar, eine Mieterhöhung zu verlangen und im selben Schreiben einzuräumen, dass die Heizanlage einen ungünstigen Wirkungsgrad hat, während die aus exakt dieser Anlage resultierenden, vom eigenen Messdienstleister beanstandeten Heizkostenabrechnungen seit über einem Jahr unkorrigiert sind und der Kläger zeitgleich mit Mahnungen überzogen wird.</w:t>
      </w:r>
    </w:p>
    <w:p>
      <w:pPr>
        <w:spacing w:after="120" w:before="0" w:line="300"/>
        <w:jc w:val="both"/>
      </w:pPr>
      <w:r>
        <w:rPr>
          <w:rFonts w:ascii="Times New Roman" w:cs="Times New Roman" w:eastAsia="Times New Roman" w:hAnsi="Times New Roman"/>
          <w:b/>
          <w:bCs/>
          <w:i w:val="false"/>
          <w:iCs w:val="false"/>
          <w:sz w:val="22"/>
          <w:szCs w:val="22"/>
        </w:rPr>
        <w:t xml:space="preserve">4.  Vorsorglich  </w:t>
      </w:r>
      <w:r>
        <w:rPr>
          <w:rFonts w:ascii="Times New Roman" w:cs="Times New Roman" w:eastAsia="Times New Roman" w:hAnsi="Times New Roman"/>
          <w:sz w:val="22"/>
          <w:szCs w:val="22"/>
        </w:rPr>
        <w:t xml:space="preserve">werden die Einhaltung der Wartefrist des § 558 Abs. 1 BGB und der Kappungsgrenze des § 558 Abs. 3 BGB (i. V. m. der Berliner Kappungsgrenzen-Verordnung) sowie die formelle Ordnungsmäßigkeit der Begründung nach § 558a BGB mit Nichtwissen bestritten </w:t>
      </w:r>
      <w:r>
        <w:rPr>
          <w:rFonts w:ascii="Times New Roman" w:cs="Times New Roman" w:eastAsia="Times New Roman" w:hAnsi="Times New Roman"/>
          <w:b w:val="false"/>
          <w:bCs w:val="false"/>
          <w:i w:val="false"/>
          <w:iCs w:val="false"/>
          <w:sz w:val="22"/>
          <w:szCs w:val="22"/>
          <w:highlight w:val="yellow"/>
          <w:highlightCs w:val="yellow"/>
        </w:rPr>
        <w:t xml:space="preserve">[nach Prüfung der Mietentwicklung ggf. konkretisieren – interne Anmerkung Nr. 7]</w:t>
      </w:r>
      <w:r>
        <w:rPr>
          <w:rFonts w:ascii="Times New Roman" w:cs="Times New Roman" w:eastAsia="Times New Roman" w:hAnsi="Times New Roman"/>
          <w:sz w:val="22"/>
          <w:szCs w:val="22"/>
        </w:rPr>
        <w:t xml:space="preserve">.</w:t>
      </w:r>
    </w:p>
    <w:p>
      <w:pPr>
        <w:spacing w:after="100" w:before="200"/>
      </w:pPr>
      <w:r>
        <w:rPr>
          <w:rFonts w:ascii="Times New Roman" w:cs="Times New Roman" w:eastAsia="Times New Roman" w:hAnsi="Times New Roman"/>
          <w:b/>
          <w:bCs/>
          <w:sz w:val="22"/>
          <w:szCs w:val="22"/>
        </w:rPr>
        <w:t xml:space="preserve">V.  Zu den Anträgen zu IV. und V.: Mietpreisbremse (§§ 556d ff. BGB)</w:t>
      </w:r>
    </w:p>
    <w:p>
      <w:pPr>
        <w:spacing w:after="120" w:before="0" w:line="300"/>
        <w:jc w:val="both"/>
      </w:pPr>
      <w:r>
        <w:rPr>
          <w:rFonts w:ascii="Times New Roman" w:cs="Times New Roman" w:eastAsia="Times New Roman" w:hAnsi="Times New Roman"/>
          <w:b/>
          <w:bCs/>
          <w:i w:val="false"/>
          <w:iCs w:val="false"/>
          <w:sz w:val="22"/>
          <w:szCs w:val="22"/>
        </w:rPr>
        <w:t xml:space="preserve">1.  Anwendbarkeit.  </w:t>
      </w:r>
      <w:r>
        <w:rPr>
          <w:rFonts w:ascii="Times New Roman" w:cs="Times New Roman" w:eastAsia="Times New Roman" w:hAnsi="Times New Roman"/>
          <w:sz w:val="22"/>
          <w:szCs w:val="22"/>
        </w:rPr>
        <w:t xml:space="preserve">Die Wohnung liegt im Geltungsbereich der Berliner Mietenbegrenzungsverordnung vom 28.04.2015 (in Kraft seit 01.06.2015), die das gesamte Stadtgebiet Berlins als Gebiet mit angespanntem Wohnungsmarkt bestimmt. Das Mietverhältnis wurde am 01.10.2017 und damit im zeitlichen Geltungsbereich dieser Verordnung begründet. Die Verfassungsmäßigkeit der Mietpreisbremse ist geklärt (BVerfG, Beschluss vom 18.07.2019 – 1 BvL 1/18 u. a.); die Wirksamkeit der Berliner Mietenbegrenzungsverordnungen ist gerichtlich bestätigt (vgl. zur Zweiten Verordnung BGH, Urteil vom </w:t>
      </w:r>
      <w:r>
        <w:rPr>
          <w:rFonts w:ascii="Times New Roman" w:cs="Times New Roman" w:eastAsia="Times New Roman" w:hAnsi="Times New Roman"/>
          <w:b w:val="false"/>
          <w:bCs w:val="false"/>
          <w:i w:val="false"/>
          <w:iCs w:val="false"/>
          <w:sz w:val="22"/>
          <w:szCs w:val="22"/>
          <w:highlight w:val="yellow"/>
          <w:highlightCs w:val="yellow"/>
        </w:rPr>
        <w:t xml:space="preserve">[Dezember 2024, Az. ergänzen]</w:t>
      </w:r>
      <w:r>
        <w:rPr>
          <w:rFonts w:ascii="Times New Roman" w:cs="Times New Roman" w:eastAsia="Times New Roman" w:hAnsi="Times New Roman"/>
          <w:sz w:val="22"/>
          <w:szCs w:val="22"/>
        </w:rPr>
        <w:t xml:space="preserve">).</w:t>
      </w:r>
    </w:p>
    <w:tbl>
      <w:tblPr>
        <w:tblW w:type="dxa" w:w="9026"/>
        <w:tblBorders>
          <w:top w:val="single" w:color="BFC5CC" w:sz="4"/>
          <w:left w:val="single" w:color="BFC5CC" w:sz="4"/>
          <w:bottom w:val="single" w:color="BFC5CC" w:sz="4"/>
          <w:right w:val="single" w:color="BFC5CC" w:sz="4"/>
          <w:insideH w:val="single" w:color="BFC5CC" w:sz="4"/>
          <w:insideV w:val="single" w:color="BFC5CC" w:sz="4"/>
        </w:tblBorders>
      </w:tblPr>
      <w:tblGrid>
        <w:gridCol w:w="9026"/>
      </w:tblGrid>
      <w:tr>
        <w:tc>
          <w:tcPr>
            <w:tcW w:type="dxa" w:w="9026"/>
            <w:shd w:fill="F2F3F5" w:val="clear"/>
            <w:tcMar>
              <w:top w:type="dxa" w:w="120"/>
              <w:left w:type="dxa" w:w="160"/>
              <w:bottom w:type="dxa" w:w="120"/>
              <w:right w:type="dxa" w:w="160"/>
            </w:tcMar>
          </w:tcPr>
          <w:p>
            <w:pPr>
              <w:spacing w:after="60"/>
            </w:pPr>
            <w:r>
              <w:rPr>
                <w:rFonts w:ascii="Times New Roman" w:cs="Times New Roman" w:eastAsia="Times New Roman" w:hAnsi="Times New Roman"/>
                <w:b/>
                <w:bCs/>
                <w:sz w:val="20"/>
                <w:szCs w:val="20"/>
              </w:rPr>
              <w:t xml:space="preserve">§ 556d Abs. 1 BGB (Wortlaut):</w:t>
            </w:r>
          </w:p>
          <w:p>
            <w:pPr>
              <w:spacing w:after="0" w:line="280"/>
              <w:jc w:val="both"/>
            </w:pPr>
            <w:r>
              <w:rPr>
                <w:rFonts w:ascii="Times New Roman" w:cs="Times New Roman" w:eastAsia="Times New Roman" w:hAnsi="Times New Roman"/>
                <w:i/>
                <w:iCs/>
                <w:sz w:val="20"/>
                <w:szCs w:val="20"/>
              </w:rPr>
              <w:t xml:space="preserve">„Wird ein Mietvertrag über Wohnraum abgeschlossen, der in einem durch Rechtsverordnung nach Absatz 2 bestimmten Gebiet mit einem angespannten Wohnungsmarkt liegt, so darf die Miete zu Beginn des Mietverhältnisses die ortsübliche Vergleichsmiete (§ 558 Absatz 2) höchstens um 10 Prozent übersteigen.“</w:t>
            </w:r>
          </w:p>
        </w:tc>
      </w:tr>
    </w:tbl>
    <w:p>
      <w:pPr>
        <w:spacing w:after="120"/>
      </w:pPr>
    </w:p>
    <w:p>
      <w:pPr>
        <w:spacing w:after="120" w:before="0" w:line="300"/>
        <w:jc w:val="both"/>
      </w:pPr>
      <w:r>
        <w:rPr>
          <w:rFonts w:ascii="Times New Roman" w:cs="Times New Roman" w:eastAsia="Times New Roman" w:hAnsi="Times New Roman"/>
          <w:b/>
          <w:bCs/>
          <w:i w:val="false"/>
          <w:iCs w:val="false"/>
          <w:sz w:val="22"/>
          <w:szCs w:val="22"/>
        </w:rPr>
        <w:t xml:space="preserve">2.  Überschreitung der zulässigen Miete.  </w:t>
      </w:r>
      <w:r>
        <w:rPr>
          <w:rFonts w:ascii="Times New Roman" w:cs="Times New Roman" w:eastAsia="Times New Roman" w:hAnsi="Times New Roman"/>
          <w:sz w:val="22"/>
          <w:szCs w:val="22"/>
        </w:rPr>
        <w:t xml:space="preserve">Nach vorläufiger Einordnung anhand des Berliner Mietspiegels 2017 </w:t>
      </w:r>
      <w:r>
        <w:rPr>
          <w:rFonts w:ascii="Times New Roman" w:cs="Times New Roman" w:eastAsia="Times New Roman" w:hAnsi="Times New Roman"/>
          <w:b w:val="false"/>
          <w:bCs w:val="false"/>
          <w:i w:val="false"/>
          <w:iCs w:val="false"/>
          <w:sz w:val="22"/>
          <w:szCs w:val="22"/>
          <w:highlight w:val="yellow"/>
          <w:highlightCs w:val="yellow"/>
        </w:rPr>
        <w:t xml:space="preserve">[Feld ___, durch Prozessbevollmächtigte zu berechnen]</w:t>
      </w:r>
      <w:r>
        <w:rPr>
          <w:rFonts w:ascii="Times New Roman" w:cs="Times New Roman" w:eastAsia="Times New Roman" w:hAnsi="Times New Roman"/>
          <w:sz w:val="22"/>
          <w:szCs w:val="22"/>
        </w:rPr>
        <w:t xml:space="preserve"> betrug die ortsübliche Vergleichsmiete bei Mietbeginn </w:t>
      </w:r>
      <w:r>
        <w:rPr>
          <w:rFonts w:ascii="Times New Roman" w:cs="Times New Roman" w:eastAsia="Times New Roman" w:hAnsi="Times New Roman"/>
          <w:b w:val="false"/>
          <w:bCs w:val="false"/>
          <w:i w:val="false"/>
          <w:iCs w:val="false"/>
          <w:sz w:val="22"/>
          <w:szCs w:val="22"/>
          <w:highlight w:val="yellow"/>
          <w:highlightCs w:val="yellow"/>
        </w:rPr>
        <w:t xml:space="preserve">[___]</w:t>
      </w:r>
      <w:r>
        <w:rPr>
          <w:rFonts w:ascii="Times New Roman" w:cs="Times New Roman" w:eastAsia="Times New Roman" w:hAnsi="Times New Roman"/>
          <w:sz w:val="22"/>
          <w:szCs w:val="22"/>
        </w:rPr>
        <w:t xml:space="preserve"> €/m²; die zulässige Höchstmiete (§ 556d Abs. 1 BGB) belief sich damit auf </w:t>
      </w:r>
      <w:r>
        <w:rPr>
          <w:rFonts w:ascii="Times New Roman" w:cs="Times New Roman" w:eastAsia="Times New Roman" w:hAnsi="Times New Roman"/>
          <w:b w:val="false"/>
          <w:bCs w:val="false"/>
          <w:i w:val="false"/>
          <w:iCs w:val="false"/>
          <w:sz w:val="22"/>
          <w:szCs w:val="22"/>
          <w:highlight w:val="yellow"/>
          <w:highlightCs w:val="yellow"/>
        </w:rPr>
        <w:t xml:space="preserve">[___]</w:t>
      </w:r>
      <w:r>
        <w:rPr>
          <w:rFonts w:ascii="Times New Roman" w:cs="Times New Roman" w:eastAsia="Times New Roman" w:hAnsi="Times New Roman"/>
          <w:sz w:val="22"/>
          <w:szCs w:val="22"/>
        </w:rPr>
        <w:t xml:space="preserve"> € monatlich. Die vereinbarte Nettokaltmiete von 947,00 € (10,66 €/m²) überschreitet diesen Betrag nach vorläufiger Schätzung um </w:t>
      </w:r>
      <w:r>
        <w:rPr>
          <w:rFonts w:ascii="Times New Roman" w:cs="Times New Roman" w:eastAsia="Times New Roman" w:hAnsi="Times New Roman"/>
          <w:b/>
          <w:bCs/>
          <w:i w:val="false"/>
          <w:iCs w:val="false"/>
          <w:sz w:val="22"/>
          <w:szCs w:val="22"/>
        </w:rPr>
        <w:t xml:space="preserve">169,00 € bis 406,00 € monatlich</w:t>
      </w:r>
      <w:r>
        <w:rPr>
          <w:rFonts w:ascii="Times New Roman" w:cs="Times New Roman" w:eastAsia="Times New Roman" w:hAnsi="Times New Roman"/>
          <w:sz w:val="22"/>
          <w:szCs w:val="22"/>
        </w:rPr>
        <w:t xml:space="preserve">. Die Mietabrede ist gemäß § 556g Abs. 1 Satz 1 und 2 BGB unwirksam, soweit die zulässige Miete überschritten wird.</w:t>
      </w:r>
    </w:p>
    <w:p>
      <w:pPr>
        <w:spacing w:after="120" w:before="0" w:line="300"/>
        <w:jc w:val="both"/>
      </w:pPr>
      <w:r>
        <w:rPr>
          <w:rFonts w:ascii="Times New Roman" w:cs="Times New Roman" w:eastAsia="Times New Roman" w:hAnsi="Times New Roman"/>
          <w:b/>
          <w:bCs/>
          <w:i w:val="false"/>
          <w:iCs w:val="false"/>
          <w:sz w:val="22"/>
          <w:szCs w:val="22"/>
        </w:rPr>
        <w:t xml:space="preserve">3.  Qualifizierte Rüge (§ 556g Abs. 2 BGB a. F.).  </w:t>
      </w:r>
      <w:r>
        <w:rPr>
          <w:rFonts w:ascii="Times New Roman" w:cs="Times New Roman" w:eastAsia="Times New Roman" w:hAnsi="Times New Roman"/>
          <w:sz w:val="22"/>
          <w:szCs w:val="22"/>
        </w:rPr>
        <w:t xml:space="preserve">Da das Mietverhältnis vor dem 01.01.2019 begründet wurde, gilt § 556g Abs. 2 BGB in der bis zum 31.12.2018 geltenden Fassung (Art. 229 § 49 Abs. 2 EGBGB): Zurückverlangt werden kann Miete, die nach Zugang einer qualifizierten Rüge fällig geworden ist. Der Kläger hat die Überschreitung bereits mit Schreiben vom </w:t>
      </w:r>
      <w:r>
        <w:rPr>
          <w:rFonts w:ascii="Times New Roman" w:cs="Times New Roman" w:eastAsia="Times New Roman" w:hAnsi="Times New Roman"/>
          <w:b w:val="false"/>
          <w:bCs w:val="false"/>
          <w:i w:val="false"/>
          <w:iCs w:val="false"/>
          <w:sz w:val="22"/>
          <w:szCs w:val="22"/>
          <w:highlight w:val="yellow"/>
          <w:highlightCs w:val="yellow"/>
        </w:rPr>
        <w:t xml:space="preserve">[Datum]</w:t>
      </w:r>
      <w:r>
        <w:rPr>
          <w:rFonts w:ascii="Times New Roman" w:cs="Times New Roman" w:eastAsia="Times New Roman" w:hAnsi="Times New Roman"/>
          <w:sz w:val="22"/>
          <w:szCs w:val="22"/>
        </w:rPr>
        <w:t xml:space="preserve"> qualifiziert gerügt (Anlage K 14). </w:t>
      </w:r>
      <w:r>
        <w:rPr>
          <w:rFonts w:ascii="Times New Roman" w:cs="Times New Roman" w:eastAsia="Times New Roman" w:hAnsi="Times New Roman"/>
          <w:b/>
          <w:bCs/>
          <w:i w:val="false"/>
          <w:iCs w:val="false"/>
          <w:sz w:val="22"/>
          <w:szCs w:val="22"/>
        </w:rPr>
        <w:t xml:space="preserve">Höchst vorsorglich wird die Rüge hiermit in qualifizierter Form wiederholt:</w:t>
      </w:r>
    </w:p>
    <w:tbl>
      <w:tblPr>
        <w:tblW w:type="dxa" w:w="9026"/>
        <w:tblBorders>
          <w:top w:val="single" w:color="BFC5CC" w:sz="4"/>
          <w:left w:val="single" w:color="BFC5CC" w:sz="4"/>
          <w:bottom w:val="single" w:color="BFC5CC" w:sz="4"/>
          <w:right w:val="single" w:color="BFC5CC" w:sz="4"/>
          <w:insideH w:val="single" w:color="BFC5CC" w:sz="4"/>
          <w:insideV w:val="single" w:color="BFC5CC" w:sz="4"/>
        </w:tblBorders>
      </w:tblPr>
      <w:tblGrid>
        <w:gridCol w:w="9026"/>
      </w:tblGrid>
      <w:tr>
        <w:tc>
          <w:tcPr>
            <w:tcW w:type="dxa" w:w="9026"/>
            <w:shd w:fill="F2F3F5" w:val="clear"/>
            <w:tcMar>
              <w:top w:type="dxa" w:w="120"/>
              <w:left w:type="dxa" w:w="160"/>
              <w:bottom w:type="dxa" w:w="120"/>
              <w:right w:type="dxa" w:w="160"/>
            </w:tcMar>
          </w:tcPr>
          <w:p>
            <w:pPr>
              <w:spacing w:after="60"/>
            </w:pPr>
            <w:r>
              <w:rPr>
                <w:rFonts w:ascii="Times New Roman" w:cs="Times New Roman" w:eastAsia="Times New Roman" w:hAnsi="Times New Roman"/>
                <w:b/>
                <w:bCs/>
                <w:sz w:val="20"/>
                <w:szCs w:val="20"/>
              </w:rPr>
              <w:t xml:space="preserve">Qualifizierte Rüge gemäß § 556g Abs. 2 BGB a. F.:</w:t>
            </w:r>
          </w:p>
          <w:p>
            <w:pPr>
              <w:spacing w:after="0" w:line="280"/>
              <w:jc w:val="both"/>
            </w:pPr>
            <w:r>
              <w:rPr>
                <w:rFonts w:ascii="Times New Roman" w:cs="Times New Roman" w:eastAsia="Times New Roman" w:hAnsi="Times New Roman"/>
                <w:i/>
                <w:iCs/>
                <w:sz w:val="20"/>
                <w:szCs w:val="20"/>
              </w:rPr>
              <w:t xml:space="preserve">Die Wohnung Dahlmannstraße 17, 10629 Berlin (NE07), liegt im Geltungsbereich der Berliner Mietenbegrenzungsverordnung vom 28.04.2015. Nach dem Berliner Mietspiegel 2017 (Feld [___]: Baualtersklasse [___], Wohnfläche ca. 88,84 m², Wohnlage [___]) betrug die ortsübliche Vergleichsmiete bei Mietbeginn am 01.10.2017 [___] €/m² (Spanne [___] bis [___] €/m²). Die zulässige Höchstmiete betrug damit [___] € monatlich (ortsübliche Vergleichsmiete zzgl. 10 %, § 556d Abs. 1 BGB). Die vereinbarte Nettokaltmiete von 947,00 € überschreitet die zulässige Höchstmiete um [___] € monatlich und verstößt gegen § 556d Abs. 1 BGB. Ausnahmetatbestände nach §§ 556e, 556f BGB sind weder ersichtlich noch dargetan; hierüber wird Auskunft verlangt.</w:t>
            </w:r>
          </w:p>
        </w:tc>
      </w:tr>
    </w:tbl>
    <w:p>
      <w:pPr>
        <w:spacing w:after="120"/>
      </w:pPr>
    </w:p>
    <w:p>
      <w:pPr>
        <w:spacing w:after="120" w:before="0" w:line="300"/>
        <w:jc w:val="both"/>
      </w:pPr>
      <w:r>
        <w:rPr>
          <w:rFonts w:ascii="Times New Roman" w:cs="Times New Roman" w:eastAsia="Times New Roman" w:hAnsi="Times New Roman"/>
          <w:b/>
          <w:bCs/>
          <w:i w:val="false"/>
          <w:iCs w:val="false"/>
          <w:sz w:val="22"/>
          <w:szCs w:val="22"/>
        </w:rPr>
        <w:t xml:space="preserve">4.  Auskunftsanspruch (Antrag zu IV.1), § 556g Abs. 3 BGB.  </w:t>
      </w:r>
      <w:r>
        <w:rPr>
          <w:rFonts w:ascii="Times New Roman" w:cs="Times New Roman" w:eastAsia="Times New Roman" w:hAnsi="Times New Roman"/>
          <w:sz w:val="22"/>
          <w:szCs w:val="22"/>
        </w:rPr>
        <w:t xml:space="preserve">Der Kläger kann Auskunft über die für die Zulässigkeit der Miete maßgeblichen Tatsachen verlangen, insbesondere über die Vormiete und etwaige Ausnahmetatbestände. Die Stufenklage ist der prozessual gebotene Weg, da der Rückzahlungsanspruch erst nach Auskunftserteilung beziffert werden kann.</w:t>
      </w:r>
    </w:p>
    <w:p>
      <w:pPr>
        <w:spacing w:after="120" w:before="0" w:line="300"/>
        <w:jc w:val="both"/>
      </w:pPr>
      <w:r>
        <w:rPr>
          <w:rFonts w:ascii="Times New Roman" w:cs="Times New Roman" w:eastAsia="Times New Roman" w:hAnsi="Times New Roman"/>
          <w:b/>
          <w:bCs/>
          <w:i w:val="false"/>
          <w:iCs w:val="false"/>
          <w:sz w:val="22"/>
          <w:szCs w:val="22"/>
        </w:rPr>
        <w:t xml:space="preserve">5.  Rückzahlung und Kaution (Antrag zu IV.3).  </w:t>
      </w:r>
      <w:r>
        <w:rPr>
          <w:rFonts w:ascii="Times New Roman" w:cs="Times New Roman" w:eastAsia="Times New Roman" w:hAnsi="Times New Roman"/>
          <w:sz w:val="22"/>
          <w:szCs w:val="22"/>
        </w:rPr>
        <w:t xml:space="preserve">Nach Auskunftserteilung wird der Kläger die seit Zugang der Rüge überzahlten Differenzbeträge beziffern (vorläufige Größenordnung: 169,00 € bis 406,00 € je Monat). Zudem ist die Mietsicherheit nach § 551 Abs. 1 BGB auf höchstens drei Monatsbeträge der </w:t>
      </w:r>
      <w:r>
        <w:rPr>
          <w:rFonts w:ascii="Times New Roman" w:cs="Times New Roman" w:eastAsia="Times New Roman" w:hAnsi="Times New Roman"/>
          <w:b w:val="false"/>
          <w:bCs w:val="false"/>
          <w:i/>
          <w:iCs/>
          <w:sz w:val="22"/>
          <w:szCs w:val="22"/>
        </w:rPr>
        <w:t xml:space="preserve">zulässigen</w:t>
      </w:r>
      <w:r>
        <w:rPr>
          <w:rFonts w:ascii="Times New Roman" w:cs="Times New Roman" w:eastAsia="Times New Roman" w:hAnsi="Times New Roman"/>
          <w:sz w:val="22"/>
          <w:szCs w:val="22"/>
        </w:rPr>
        <w:t xml:space="preserve"> Nettokaltmiete begrenzt; der überschießende Teil der geleisteten Kaution ist zu erstatten.</w:t>
      </w:r>
    </w:p>
    <w:p>
      <w:pPr>
        <w:spacing w:after="120" w:before="0" w:line="300"/>
        <w:jc w:val="both"/>
      </w:pPr>
      <w:r>
        <w:rPr>
          <w:rFonts w:ascii="Times New Roman" w:cs="Times New Roman" w:eastAsia="Times New Roman" w:hAnsi="Times New Roman"/>
          <w:b/>
          <w:bCs/>
          <w:i w:val="false"/>
          <w:iCs w:val="false"/>
          <w:sz w:val="22"/>
          <w:szCs w:val="22"/>
        </w:rPr>
        <w:t xml:space="preserve">6.  Feststellung der künftig geschuldeten Miete (Antrag zu V.).  </w:t>
      </w:r>
      <w:r>
        <w:rPr>
          <w:rFonts w:ascii="Times New Roman" w:cs="Times New Roman" w:eastAsia="Times New Roman" w:hAnsi="Times New Roman"/>
          <w:sz w:val="22"/>
          <w:szCs w:val="22"/>
        </w:rPr>
        <w:t xml:space="preserve">Da die Beklagte sich der überhöhten Miete berühmt und zugleich eine weitere Erhöhung verlangt, hat der Kläger ein rechtliches Interesse an der Feststellung der ab Rügezugang geschuldeten Miethöhe. Die Feststellung sichert zugleich die künftige Berechnungsgrundlage für Kaution und etwaige spätere Erhöhungsverlangen.</w:t>
      </w:r>
    </w:p>
    <w:p>
      <w:pPr>
        <w:spacing w:after="100" w:before="200"/>
      </w:pPr>
      <w:r>
        <w:rPr>
          <w:rFonts w:ascii="Times New Roman" w:cs="Times New Roman" w:eastAsia="Times New Roman" w:hAnsi="Times New Roman"/>
          <w:b/>
          <w:bCs/>
          <w:sz w:val="22"/>
          <w:szCs w:val="22"/>
        </w:rPr>
        <w:t xml:space="preserve">VI.  Zum Antrag zu VI.: Belegeinsicht</w:t>
      </w:r>
    </w:p>
    <w:p>
      <w:pPr>
        <w:spacing w:after="120" w:before="0" w:line="300"/>
        <w:jc w:val="both"/>
      </w:pPr>
      <w:r>
        <w:rPr>
          <w:rFonts w:ascii="Times New Roman" w:cs="Times New Roman" w:eastAsia="Times New Roman" w:hAnsi="Times New Roman"/>
          <w:sz w:val="22"/>
          <w:szCs w:val="22"/>
        </w:rPr>
        <w:t xml:space="preserve">Der Anspruch auf Einsicht in die Abrechnungsunterlagen folgt aus dem Abrechnungsverhältnis in Verbindung mit § 242 BGB (vgl. § 259 BGB). Ohne Einsicht insbesondere in die Ableseprotokolle, die Dokumentation über Gerätetausch und -zustand sowie die Eichnachweise kann der Kläger die Abrechnungen nicht nachvollziehen. Die Beklagte hat die Einsicht bislang nicht </w:t>
      </w:r>
      <w:r>
        <w:rPr>
          <w:rFonts w:ascii="Times New Roman" w:cs="Times New Roman" w:eastAsia="Times New Roman" w:hAnsi="Times New Roman"/>
          <w:b w:val="false"/>
          <w:bCs w:val="false"/>
          <w:i w:val="false"/>
          <w:iCs w:val="false"/>
          <w:sz w:val="22"/>
          <w:szCs w:val="22"/>
          <w:highlight w:val="yellow"/>
          <w:highlightCs w:val="yellow"/>
        </w:rPr>
        <w:t xml:space="preserve">[vollständig]</w:t>
      </w:r>
      <w:r>
        <w:rPr>
          <w:rFonts w:ascii="Times New Roman" w:cs="Times New Roman" w:eastAsia="Times New Roman" w:hAnsi="Times New Roman"/>
          <w:sz w:val="22"/>
          <w:szCs w:val="22"/>
        </w:rPr>
        <w:t xml:space="preserve"> gewährt </w:t>
      </w:r>
      <w:r>
        <w:rPr>
          <w:rFonts w:ascii="Times New Roman" w:cs="Times New Roman" w:eastAsia="Times New Roman" w:hAnsi="Times New Roman"/>
          <w:b w:val="false"/>
          <w:bCs w:val="false"/>
          <w:i w:val="false"/>
          <w:iCs w:val="false"/>
          <w:sz w:val="22"/>
          <w:szCs w:val="22"/>
          <w:highlight w:val="yellow"/>
          <w:highlightCs w:val="yellow"/>
        </w:rPr>
        <w:t xml:space="preserve">[falls Einsicht bereits gewährt wurde: Antrag streichen]</w:t>
      </w:r>
      <w:r>
        <w:rPr>
          <w:rFonts w:ascii="Times New Roman" w:cs="Times New Roman" w:eastAsia="Times New Roman" w:hAnsi="Times New Roman"/>
          <w:sz w:val="22"/>
          <w:szCs w:val="22"/>
        </w:rPr>
        <w:t xml:space="preserve">.</w:t>
      </w:r>
    </w:p>
    <w:p>
      <w:pPr>
        <w:spacing w:after="100" w:before="200"/>
      </w:pPr>
      <w:r>
        <w:rPr>
          <w:rFonts w:ascii="Times New Roman" w:cs="Times New Roman" w:eastAsia="Times New Roman" w:hAnsi="Times New Roman"/>
          <w:b/>
          <w:bCs/>
          <w:sz w:val="22"/>
          <w:szCs w:val="22"/>
        </w:rPr>
        <w:t xml:space="preserve">VII.  Nebenforderungen</w:t>
      </w:r>
    </w:p>
    <w:p>
      <w:pPr>
        <w:spacing w:after="200" w:before="0" w:line="300"/>
        <w:jc w:val="both"/>
      </w:pPr>
      <w:r>
        <w:rPr>
          <w:rFonts w:ascii="Times New Roman" w:cs="Times New Roman" w:eastAsia="Times New Roman" w:hAnsi="Times New Roman"/>
          <w:sz w:val="22"/>
          <w:szCs w:val="22"/>
        </w:rPr>
        <w:t xml:space="preserve">Der Zinsanspruch folgt aus §§ 286, 288 Abs. 1, 291 BGB.</w:t>
      </w:r>
    </w:p>
    <w:p>
      <w:pPr>
        <w:spacing w:after="140" w:before="260"/>
        <w:jc w:val="left"/>
      </w:pPr>
      <w:r>
        <w:rPr>
          <w:rFonts w:ascii="Times New Roman" w:cs="Times New Roman" w:eastAsia="Times New Roman" w:hAnsi="Times New Roman"/>
          <w:b/>
          <w:bCs/>
          <w:sz w:val="23"/>
          <w:szCs w:val="23"/>
        </w:rPr>
        <w:t xml:space="preserve">C.  Wirtschaftliche Gesamtübersicht</w:t>
      </w:r>
    </w:p>
    <w:tbl>
      <w:tblPr>
        <w:tblW w:type="dxa" w:w="9026"/>
        <w:tblBorders>
          <w:top w:val="single" w:color="9AA0A6" w:sz="4"/>
          <w:left w:val="single" w:color="9AA0A6" w:sz="4"/>
          <w:bottom w:val="single" w:color="9AA0A6" w:sz="4"/>
          <w:right w:val="single" w:color="9AA0A6" w:sz="4"/>
          <w:insideH w:val="single" w:color="9AA0A6" w:sz="4"/>
          <w:insideV w:val="single" w:color="9AA0A6" w:sz="4"/>
        </w:tblBorders>
      </w:tblPr>
      <w:tblGrid>
        <w:gridCol w:w="3426"/>
        <w:gridCol w:w="2600"/>
        <w:gridCol w:w="3000"/>
      </w:tblGrid>
      <w:tr>
        <w:trPr>
          <w:tblHeader/>
        </w:trPr>
        <w:tc>
          <w:tcPr>
            <w:tcW w:type="dxa" w:w="3426"/>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Position</w:t>
            </w:r>
          </w:p>
        </w:tc>
        <w:tc>
          <w:tcPr>
            <w:tcW w:type="dxa" w:w="260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Betrag</w:t>
            </w:r>
          </w:p>
        </w:tc>
        <w:tc>
          <w:tcPr>
            <w:tcW w:type="dxa" w:w="300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Ergebnis</w:t>
            </w:r>
          </w:p>
        </w:tc>
      </w:tr>
      <w:tr>
        <w:tc>
          <w:tcPr>
            <w:tcW w:type="dxa" w:w="34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Nachforderung Heizkosten 2024 (bestritten)</w:t>
            </w:r>
          </w:p>
        </w:tc>
        <w:tc>
          <w:tcPr>
            <w:tcW w:type="dxa" w:w="260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3.344,04 €</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entfällt (Antrag zu I.)</w:t>
            </w:r>
          </w:p>
        </w:tc>
      </w:tr>
      <w:tr>
        <w:tc>
          <w:tcPr>
            <w:tcW w:type="dxa" w:w="34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Rückzahlung Nachzahlung 2023</w:t>
            </w:r>
          </w:p>
        </w:tc>
        <w:tc>
          <w:tcPr>
            <w:tcW w:type="dxa" w:w="260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1.674,52 €</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an den Kläger (Antrag zu II.)</w:t>
            </w:r>
          </w:p>
        </w:tc>
      </w:tr>
      <w:tr>
        <w:tc>
          <w:tcPr>
            <w:tcW w:type="dxa" w:w="34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Minderung Ventildefekt (Mindestbetrag)</w:t>
            </w:r>
          </w:p>
        </w:tc>
        <w:tc>
          <w:tcPr>
            <w:tcW w:type="dxa" w:w="260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1.500,00 €</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an den Kläger (Antrag zu II.)</w:t>
            </w:r>
          </w:p>
        </w:tc>
      </w:tr>
      <w:tr>
        <w:tc>
          <w:tcPr>
            <w:tcW w:type="dxa" w:w="34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Mieterhöhung ab 2026</w:t>
            </w:r>
          </w:p>
        </w:tc>
        <w:tc>
          <w:tcPr>
            <w:tcW w:type="dxa" w:w="260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+96,87 €/Monat</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abzuwehren (Antrag zu III.)</w:t>
            </w:r>
          </w:p>
        </w:tc>
      </w:tr>
      <w:tr>
        <w:tc>
          <w:tcPr>
            <w:tcW w:type="dxa" w:w="34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Rückzahlung Mietpreisbremse</w:t>
            </w:r>
          </w:p>
        </w:tc>
        <w:tc>
          <w:tcPr>
            <w:tcW w:type="dxa" w:w="260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169–406 €/Monat ab Rügezugang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nach Auskunft zu beziffern (Antrag zu IV.)</w:t>
            </w:r>
          </w:p>
        </w:tc>
      </w:tr>
      <w:tr>
        <w:tc>
          <w:tcPr>
            <w:tcW w:type="dxa" w:w="34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Überzahlter Kautionsanteil</w:t>
            </w:r>
          </w:p>
        </w:tc>
        <w:tc>
          <w:tcPr>
            <w:tcW w:type="dxa" w:w="260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sz w:val="19"/>
                <w:szCs w:val="19"/>
              </w:rPr>
              <w:t xml:space="preserve">3 × monatlicher Differenzbetrag</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nach Auskunft zu beziffern (Antrag zu IV.)</w:t>
            </w:r>
          </w:p>
        </w:tc>
      </w:tr>
      <w:tr>
        <w:tc>
          <w:tcPr>
            <w:tcW w:type="dxa" w:w="34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Künftige Nettokaltmiete</w:t>
            </w:r>
          </w:p>
        </w:tc>
        <w:tc>
          <w:tcPr>
            <w:tcW w:type="dxa" w:w="2600"/>
            <w:tcMar>
              <w:top w:type="dxa" w:w="60"/>
              <w:left w:type="dxa" w:w="90"/>
              <w:bottom w:type="dxa" w:w="60"/>
              <w:right w:type="dxa" w:w="90"/>
            </w:tcMar>
            <w:vAlign w:val="center"/>
          </w:tcPr>
          <w:p>
            <w:pPr>
              <w:spacing w:after="0" w:line="260"/>
              <w:jc w:val="right"/>
            </w:pPr>
            <w:r>
              <w:rPr>
                <w:rFonts w:ascii="Times New Roman" w:cs="Times New Roman" w:eastAsia="Times New Roman" w:hAnsi="Times New Roman"/>
                <w:b w:val="false"/>
                <w:bCs w:val="false"/>
                <w:i w:val="false"/>
                <w:iCs w:val="false"/>
                <w:sz w:val="19"/>
                <w:szCs w:val="19"/>
                <w:highlight w:val="yellow"/>
                <w:highlightCs w:val="yellow"/>
              </w:rPr>
              <w:t xml:space="preserve">[höchstens ___ €]</w:t>
            </w:r>
            <w:r>
              <w:rPr>
                <w:rFonts w:ascii="Times New Roman" w:cs="Times New Roman" w:eastAsia="Times New Roman" w:hAnsi="Times New Roman"/>
                <w:b w:val="false"/>
                <w:bCs w:val="false"/>
                <w:sz w:val="19"/>
                <w:szCs w:val="19"/>
              </w:rPr>
              <w:t xml:space="preserve"> statt 1.043,87 €</w:t>
            </w:r>
          </w:p>
        </w:tc>
        <w:tc>
          <w:tcPr>
            <w:tcW w:type="dxa" w:w="3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Feststellung (Antrag zu V.)</w:t>
            </w:r>
          </w:p>
        </w:tc>
      </w:tr>
    </w:tbl>
    <w:p>
      <w:pPr>
        <w:spacing w:after="240" w:before="60"/>
        <w:jc w:val="center"/>
      </w:pPr>
      <w:r>
        <w:rPr>
          <w:rFonts w:ascii="Times New Roman" w:cs="Times New Roman" w:eastAsia="Times New Roman" w:hAnsi="Times New Roman"/>
          <w:i/>
          <w:iCs/>
          <w:sz w:val="19"/>
          <w:szCs w:val="19"/>
        </w:rPr>
        <w:t xml:space="preserve">Tabelle 4: Wirtschaftliche Auswirkungen der Anträge (Übersicht).</w:t>
      </w:r>
    </w:p>
    <w:p>
      <w:pPr>
        <w:spacing w:after="300" w:before="300" w:line="300"/>
        <w:jc w:val="left"/>
      </w:pPr>
      <w:r>
        <w:rPr>
          <w:rFonts w:ascii="Times New Roman" w:cs="Times New Roman" w:eastAsia="Times New Roman" w:hAnsi="Times New Roman"/>
          <w:b w:val="false"/>
          <w:bCs w:val="false"/>
          <w:i w:val="false"/>
          <w:iCs w:val="false"/>
          <w:sz w:val="22"/>
          <w:szCs w:val="22"/>
          <w:highlight w:val="yellow"/>
          <w:highlightCs w:val="yellow"/>
        </w:rPr>
        <w:t xml:space="preserve">[Ort]</w:t>
      </w:r>
      <w:r>
        <w:rPr>
          <w:rFonts w:ascii="Times New Roman" w:cs="Times New Roman" w:eastAsia="Times New Roman" w:hAnsi="Times New Roman"/>
          <w:sz w:val="22"/>
          <w:szCs w:val="22"/>
        </w:rPr>
        <w:t xml:space="preserve">, den </w:t>
      </w:r>
      <w:r>
        <w:rPr>
          <w:rFonts w:ascii="Times New Roman" w:cs="Times New Roman" w:eastAsia="Times New Roman" w:hAnsi="Times New Roman"/>
          <w:b w:val="false"/>
          <w:bCs w:val="false"/>
          <w:i w:val="false"/>
          <w:iCs w:val="false"/>
          <w:sz w:val="22"/>
          <w:szCs w:val="22"/>
          <w:highlight w:val="yellow"/>
          <w:highlightCs w:val="yellow"/>
        </w:rPr>
        <w:t xml:space="preserve">[Datum]</w:t>
      </w:r>
    </w:p>
    <w:p>
      <w:pPr>
        <w:spacing w:after="300" w:before="0" w:line="300"/>
        <w:jc w:val="left"/>
      </w:pPr>
      <w:r>
        <w:rPr>
          <w:rFonts w:ascii="Times New Roman" w:cs="Times New Roman" w:eastAsia="Times New Roman" w:hAnsi="Times New Roman"/>
          <w:b w:val="false"/>
          <w:bCs w:val="false"/>
          <w:i w:val="false"/>
          <w:iCs w:val="false"/>
          <w:sz w:val="22"/>
          <w:szCs w:val="22"/>
          <w:highlight w:val="yellow"/>
          <w:highlightCs w:val="yellow"/>
        </w:rPr>
        <w:t xml:space="preserve">[Unterschrift Rechtsanwalt/Rechtsanwältin]</w:t>
      </w:r>
    </w:p>
    <w:p>
      <w:pPr>
        <w:spacing w:after="140" w:before="260"/>
        <w:jc w:val="left"/>
      </w:pPr>
      <w:r>
        <w:rPr>
          <w:rFonts w:ascii="Times New Roman" w:cs="Times New Roman" w:eastAsia="Times New Roman" w:hAnsi="Times New Roman"/>
          <w:b/>
          <w:bCs/>
          <w:sz w:val="23"/>
          <w:szCs w:val="23"/>
        </w:rPr>
        <w:t xml:space="preserve">Anlagenverzeichnis</w:t>
      </w:r>
    </w:p>
    <w:tbl>
      <w:tblPr>
        <w:tblW w:type="dxa" w:w="9026"/>
        <w:tblBorders>
          <w:top w:val="single" w:color="9AA0A6" w:sz="4"/>
          <w:left w:val="single" w:color="9AA0A6" w:sz="4"/>
          <w:bottom w:val="single" w:color="9AA0A6" w:sz="4"/>
          <w:right w:val="single" w:color="9AA0A6" w:sz="4"/>
          <w:insideH w:val="single" w:color="9AA0A6" w:sz="4"/>
          <w:insideV w:val="single" w:color="9AA0A6" w:sz="4"/>
        </w:tblBorders>
      </w:tblPr>
      <w:tblGrid>
        <w:gridCol w:w="1000"/>
        <w:gridCol w:w="8026"/>
      </w:tblGrid>
      <w:tr>
        <w:trPr>
          <w:tblHeader/>
        </w:trPr>
        <w:tc>
          <w:tcPr>
            <w:tcW w:type="dxa" w:w="1000"/>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Anlage</w:t>
            </w:r>
          </w:p>
        </w:tc>
        <w:tc>
          <w:tcPr>
            <w:tcW w:type="dxa" w:w="8026"/>
            <w:shd w:fill="E8EAED" w:val="clear"/>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Bezeichnung</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1</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Mietvertrag vom </w:t>
            </w:r>
            <w:r>
              <w:rPr>
                <w:rFonts w:ascii="Times New Roman" w:cs="Times New Roman" w:eastAsia="Times New Roman" w:hAnsi="Times New Roman"/>
                <w:b w:val="false"/>
                <w:bCs w:val="false"/>
                <w:i w:val="false"/>
                <w:iCs w:val="false"/>
                <w:sz w:val="19"/>
                <w:szCs w:val="19"/>
                <w:highlight w:val="yellow"/>
                <w:highlightCs w:val="yellow"/>
              </w:rPr>
              <w:t xml:space="preserve">[Datum]</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2</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Nachtrag zum Mietvertrag vom 28.03.2019</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3</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Betriebs- und Heizkostenabrechnungen 2019–2024 (Konvolut)</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4</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E-Mail der Hausverwaltung nebst Techem-Stellungnahme vom 07.02.2025</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5</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Erinnerungs-/Beanstandungsschreiben des Klägers zur Abrechnungskorrektur (Konvolut)</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6</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Mängelanzeige(n) Heizkörperventil vom </w:t>
            </w:r>
            <w:r>
              <w:rPr>
                <w:rFonts w:ascii="Times New Roman" w:cs="Times New Roman" w:eastAsia="Times New Roman" w:hAnsi="Times New Roman"/>
                <w:b w:val="false"/>
                <w:bCs w:val="false"/>
                <w:i w:val="false"/>
                <w:iCs w:val="false"/>
                <w:sz w:val="19"/>
                <w:szCs w:val="19"/>
                <w:highlight w:val="yellow"/>
                <w:highlightCs w:val="yellow"/>
              </w:rPr>
              <w:t xml:space="preserve">[Datum/Daten]</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7</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Lichtbilder Heizkörper/Thermostat (Konvolut)</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8</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Reparaturbestätigung/Rechnung Instandsetzung Ventil, April 2026</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9</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Zahlungsbeleg nebst Vorbehaltserklärung zur Nachzahlung 2023</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10</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Mahnung der Beklagten vom 29.05.2026</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11</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Mieterhöhungsverlangen vom 26.06.2026</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12</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Zurückweisung entsprechend § 174 BGB vom </w:t>
            </w:r>
            <w:r>
              <w:rPr>
                <w:rFonts w:ascii="Times New Roman" w:cs="Times New Roman" w:eastAsia="Times New Roman" w:hAnsi="Times New Roman"/>
                <w:b w:val="false"/>
                <w:bCs w:val="false"/>
                <w:i w:val="false"/>
                <w:iCs w:val="false"/>
                <w:sz w:val="19"/>
                <w:szCs w:val="19"/>
                <w:highlight w:val="yellow"/>
                <w:highlightCs w:val="yellow"/>
              </w:rPr>
              <w:t xml:space="preserve">[Datum]</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13</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Lichtbilder Bodenbelag (Konvolut)</w:t>
            </w:r>
          </w:p>
        </w:tc>
      </w:tr>
      <w:tr>
        <w:tc>
          <w:tcPr>
            <w:tcW w:type="dxa" w:w="1000"/>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bCs/>
                <w:i w:val="false"/>
                <w:iCs w:val="false"/>
                <w:sz w:val="19"/>
                <w:szCs w:val="19"/>
              </w:rPr>
              <w:t xml:space="preserve">K 14</w:t>
            </w:r>
          </w:p>
        </w:tc>
        <w:tc>
          <w:tcPr>
            <w:tcW w:type="dxa" w:w="8026"/>
            <w:tcMar>
              <w:top w:type="dxa" w:w="60"/>
              <w:left w:type="dxa" w:w="90"/>
              <w:bottom w:type="dxa" w:w="60"/>
              <w:right w:type="dxa" w:w="90"/>
            </w:tcMar>
            <w:vAlign w:val="center"/>
          </w:tcPr>
          <w:p>
            <w:pPr>
              <w:spacing w:after="0" w:line="260"/>
              <w:jc w:val="left"/>
            </w:pPr>
            <w:r>
              <w:rPr>
                <w:rFonts w:ascii="Times New Roman" w:cs="Times New Roman" w:eastAsia="Times New Roman" w:hAnsi="Times New Roman"/>
                <w:b w:val="false"/>
                <w:bCs w:val="false"/>
                <w:sz w:val="19"/>
                <w:szCs w:val="19"/>
              </w:rPr>
              <w:t xml:space="preserve">Qualifizierte Rüge nach § 556g Abs. 2 BGB a. F. vom </w:t>
            </w:r>
            <w:r>
              <w:rPr>
                <w:rFonts w:ascii="Times New Roman" w:cs="Times New Roman" w:eastAsia="Times New Roman" w:hAnsi="Times New Roman"/>
                <w:b w:val="false"/>
                <w:bCs w:val="false"/>
                <w:i w:val="false"/>
                <w:iCs w:val="false"/>
                <w:sz w:val="19"/>
                <w:szCs w:val="19"/>
                <w:highlight w:val="yellow"/>
                <w:highlightCs w:val="yellow"/>
              </w:rPr>
              <w:t xml:space="preserve">[Datum]</w:t>
            </w:r>
            <w:r>
              <w:rPr>
                <w:rFonts w:ascii="Times New Roman" w:cs="Times New Roman" w:eastAsia="Times New Roman" w:hAnsi="Times New Roman"/>
                <w:b w:val="false"/>
                <w:bCs w:val="false"/>
                <w:sz w:val="19"/>
                <w:szCs w:val="19"/>
              </w:rPr>
              <w:t xml:space="preserve"> nebst Zugangsnachweis</w:t>
            </w:r>
          </w:p>
        </w:tc>
      </w:tr>
    </w:tbl>
    <w:p>
      <w:pPr>
        <w:spacing w:after="240"/>
      </w:pPr>
    </w:p>
    <w:p>
      <w:pPr>
        <w:pageBreakBefore/>
      </w:pPr>
    </w:p>
    <w:p>
      <w:pPr>
        <w:spacing w:after="160" w:before="320"/>
        <w:jc w:val="left"/>
      </w:pPr>
      <w:r>
        <w:rPr>
          <w:rFonts w:ascii="Times New Roman" w:cs="Times New Roman" w:eastAsia="Times New Roman" w:hAnsi="Times New Roman"/>
          <w:b/>
          <w:bCs/>
          <w:sz w:val="26"/>
          <w:szCs w:val="26"/>
        </w:rPr>
        <w:t xml:space="preserve">INTERNE ANMERKUNGEN – VOR EINREICHUNG LÖSCHEN</w:t>
      </w:r>
    </w:p>
    <w:tbl>
      <w:tblPr>
        <w:tblW w:type="dxa" w:w="9026"/>
        <w:tblBorders>
          <w:top w:val="single" w:color="C0392B" w:sz="4"/>
          <w:left w:val="single" w:color="C0392B" w:sz="4"/>
          <w:bottom w:val="single" w:color="C0392B" w:sz="4"/>
          <w:right w:val="single" w:color="C0392B" w:sz="4"/>
          <w:insideH w:val="single" w:color="C0392B" w:sz="4"/>
          <w:insideV w:val="single" w:color="C0392B" w:sz="4"/>
        </w:tblBorders>
      </w:tblPr>
      <w:tblGrid>
        <w:gridCol w:w="9026"/>
      </w:tblGrid>
      <w:tr>
        <w:tc>
          <w:tcPr>
            <w:tcW w:type="dxa" w:w="9026"/>
            <w:shd w:fill="FDEDEC" w:val="clear"/>
            <w:tcMar>
              <w:top w:type="dxa" w:w="120"/>
              <w:left w:type="dxa" w:w="160"/>
              <w:bottom w:type="dxa" w:w="120"/>
              <w:right w:type="dxa" w:w="160"/>
            </w:tcMar>
          </w:tcPr>
          <w:p>
            <w:pPr>
              <w:spacing w:after="100" w:line="280"/>
              <w:jc w:val="both"/>
            </w:pPr>
            <w:r>
              <w:rPr>
                <w:rFonts w:ascii="Times New Roman" w:cs="Times New Roman" w:eastAsia="Times New Roman" w:hAnsi="Times New Roman"/>
                <w:b/>
                <w:bCs/>
                <w:sz w:val="20"/>
                <w:szCs w:val="20"/>
              </w:rPr>
              <w:t xml:space="preserve">1. Passivlegitimation / Rubrum (kritisch): </w:t>
            </w:r>
            <w:r>
              <w:rPr>
                <w:rFonts w:ascii="Times New Roman" w:cs="Times New Roman" w:eastAsia="Times New Roman" w:hAnsi="Times New Roman"/>
                <w:sz w:val="20"/>
                <w:szCs w:val="20"/>
              </w:rPr>
              <w:t xml:space="preserve">Aktuelle Handelsregisterauszüge einholen. Kernfrage: Wer ist Vermieter – die Grundstücks-KG (Eigentümerin) oder die Immobilien Management GmbH (nur Verwalterin)? Davon hängen das Rubrum UND die Tragfähigkeit des Arguments B.IV.1.a ab. Ist die KG Vermieterin und hat selbst erhöht, entfällt B.IV.1.a; es verbleibt die § 174-Rüge (B.IV.1.b).</w:t>
            </w:r>
          </w:p>
          <w:p>
            <w:pPr>
              <w:spacing w:after="100" w:line="280"/>
              <w:jc w:val="both"/>
            </w:pPr>
            <w:r>
              <w:rPr>
                <w:rFonts w:ascii="Times New Roman" w:cs="Times New Roman" w:eastAsia="Times New Roman" w:hAnsi="Times New Roman"/>
                <w:b/>
                <w:bCs/>
                <w:sz w:val="20"/>
                <w:szCs w:val="20"/>
              </w:rPr>
              <w:t xml:space="preserve">2. DRINGEND – § 174 BGB: </w:t>
            </w:r>
            <w:r>
              <w:rPr>
                <w:rFonts w:ascii="Times New Roman" w:cs="Times New Roman" w:eastAsia="Times New Roman" w:hAnsi="Times New Roman"/>
                <w:sz w:val="20"/>
                <w:szCs w:val="20"/>
              </w:rPr>
              <w:t xml:space="preserve">Die Zurückweisung des Erhöhungsverlangens muss „unverzüglich“ erfolgen (Rechtsprechung: i. d. R. max. ca. 1–2 Wochen nach Zugang). Zugang war um den 27./28.06.2026; heute ist der </w:t>
            </w:r>
            <w:r>
              <w:rPr>
                <w:rFonts w:ascii="Times New Roman" w:cs="Times New Roman" w:eastAsia="Times New Roman" w:hAnsi="Times New Roman"/>
                <w:b/>
                <w:bCs/>
                <w:sz w:val="20"/>
                <w:szCs w:val="20"/>
              </w:rPr>
              <w:t xml:space="preserve">09.07.2026</w:t>
            </w:r>
            <w:r>
              <w:rPr>
                <w:rFonts w:ascii="Times New Roman" w:cs="Times New Roman" w:eastAsia="Times New Roman" w:hAnsi="Times New Roman"/>
                <w:sz w:val="20"/>
                <w:szCs w:val="20"/>
              </w:rPr>
              <w:t xml:space="preserve">. Falls noch nicht geschehen: HEUTE per Boten oder Einwurf-Einschreiben mit Zugangsnachweis zurückweisen.</w:t>
            </w:r>
          </w:p>
          <w:p>
            <w:pPr>
              <w:spacing w:after="100" w:line="280"/>
              <w:jc w:val="both"/>
            </w:pPr>
            <w:r>
              <w:rPr>
                <w:rFonts w:ascii="Times New Roman" w:cs="Times New Roman" w:eastAsia="Times New Roman" w:hAnsi="Times New Roman"/>
                <w:b/>
                <w:bCs/>
                <w:sz w:val="20"/>
                <w:szCs w:val="20"/>
              </w:rPr>
              <w:t xml:space="preserve">3. DRINGEND – Qualifizierte Rüge (Mietpreisbremse): </w:t>
            </w:r>
            <w:r>
              <w:rPr>
                <w:rFonts w:ascii="Times New Roman" w:cs="Times New Roman" w:eastAsia="Times New Roman" w:hAnsi="Times New Roman"/>
                <w:sz w:val="20"/>
                <w:szCs w:val="20"/>
              </w:rPr>
              <w:t xml:space="preserve">Bei Mietbeginn vor dem 01.01.2019 wirkt die Rückforderung NUR für Mieten, die nach Zugang der Rüge fällig werden (§ 556g Abs. 2 BGB a. F.; Art. 229 § 49 Abs. 2 EGBGB). Jeder Monat ohne zugestellte Rüge = ca. 169–406 € unwiederbringlich verloren. Die Rüge daher SOFORT vorab außergerichtlich mit Zugangsnachweis zustellen (Textbaustein: Kasten in B.V.3) – nicht erst auf die Klagezustellung warten. Die erweiterte Rückwirkung der Reform 2020 gilt nur für ab dem 01.04.2020 geschlossene Verträge.</w:t>
            </w:r>
          </w:p>
          <w:p>
            <w:pPr>
              <w:spacing w:after="100" w:line="280"/>
              <w:jc w:val="both"/>
            </w:pPr>
            <w:r>
              <w:rPr>
                <w:rFonts w:ascii="Times New Roman" w:cs="Times New Roman" w:eastAsia="Times New Roman" w:hAnsi="Times New Roman"/>
                <w:b/>
                <w:bCs/>
                <w:sz w:val="20"/>
                <w:szCs w:val="20"/>
              </w:rPr>
              <w:t xml:space="preserve">4. Zahlen-Diskrepanzen bereinigen: </w:t>
            </w:r>
            <w:r>
              <w:rPr>
                <w:rFonts w:ascii="Times New Roman" w:cs="Times New Roman" w:eastAsia="Times New Roman" w:hAnsi="Times New Roman"/>
                <w:sz w:val="20"/>
                <w:szCs w:val="20"/>
              </w:rPr>
              <w:t xml:space="preserve">In den Unterlagen kursieren für 2022 sowohl 5.250 kWh als auch 6.248 kWh; für 2023 67.715 kWh bzw. „über 64.000“; für 2024 59.322 kWh bzw. 78.470 kWh; Techem nennt für den Wärmemengenzähler 62.508,90 kWh. Vor Einreichung EINE konsistente Zahlenbasis aus den Original-Abrechnungen herstellen (ggf. Wärmemengenzähler vs. Gesamtverbrauch inkl. Heizkostenverteiler trennen) und Tabelle 1 sowie Abbildung 1 entsprechend anpassen.</w:t>
            </w:r>
          </w:p>
          <w:p>
            <w:pPr>
              <w:spacing w:after="100" w:line="280"/>
              <w:jc w:val="both"/>
            </w:pPr>
            <w:r>
              <w:rPr>
                <w:rFonts w:ascii="Times New Roman" w:cs="Times New Roman" w:eastAsia="Times New Roman" w:hAnsi="Times New Roman"/>
                <w:b/>
                <w:bCs/>
                <w:sz w:val="20"/>
                <w:szCs w:val="20"/>
              </w:rPr>
              <w:t xml:space="preserve">5. Abrechnung 2024 zerlegen: </w:t>
            </w:r>
            <w:r>
              <w:rPr>
                <w:rFonts w:ascii="Times New Roman" w:cs="Times New Roman" w:eastAsia="Times New Roman" w:hAnsi="Times New Roman"/>
                <w:sz w:val="20"/>
                <w:szCs w:val="20"/>
              </w:rPr>
              <w:t xml:space="preserve">Der Saldo 3.344,04 € umfasst Betriebs- UND Heizkosten. Den „kalten“ BK-Anteil separat prüfen; wäre dort ein Teilsaldo berechtigt, Antrag zu I. auf „keinen [X] € übersteigenden Betrag“ umstellen (Teilunterliegen vermeiden). Differenz zum Mahnbetrag 3.313,39 € (−30,65 €) aufklären.</w:t>
            </w:r>
          </w:p>
          <w:p>
            <w:pPr>
              <w:spacing w:after="100" w:line="280"/>
              <w:jc w:val="both"/>
            </w:pPr>
            <w:r>
              <w:rPr>
                <w:rFonts w:ascii="Times New Roman" w:cs="Times New Roman" w:eastAsia="Times New Roman" w:hAnsi="Times New Roman"/>
                <w:b/>
                <w:bCs/>
                <w:sz w:val="20"/>
                <w:szCs w:val="20"/>
              </w:rPr>
              <w:t xml:space="preserve">6. Minderung konkretisieren: </w:t>
            </w:r>
            <w:r>
              <w:rPr>
                <w:rFonts w:ascii="Times New Roman" w:cs="Times New Roman" w:eastAsia="Times New Roman" w:hAnsi="Times New Roman"/>
                <w:sz w:val="20"/>
                <w:szCs w:val="20"/>
              </w:rPr>
              <w:t xml:space="preserve">Datum der ersten Mängelanzeige einsetzen (K 6); monatsgenaue Liste (Zeitraum × Quote × Bruttomiete) als Anlage vorbereiten; Quote anhand der Rechtsprechung zu Überhitzung/Dauerheizen (ca. 5–15 %) festlegen. Zeugen benennen (Monteur, Haushaltsangehörige) mit ladungsfähigen Anschriften.</w:t>
            </w:r>
          </w:p>
          <w:p>
            <w:pPr>
              <w:spacing w:after="100" w:line="280"/>
              <w:jc w:val="both"/>
            </w:pPr>
            <w:r>
              <w:rPr>
                <w:rFonts w:ascii="Times New Roman" w:cs="Times New Roman" w:eastAsia="Times New Roman" w:hAnsi="Times New Roman"/>
                <w:b/>
                <w:bCs/>
                <w:sz w:val="20"/>
                <w:szCs w:val="20"/>
              </w:rPr>
              <w:t xml:space="preserve">7. § 558-Prüfung vervollständigen: </w:t>
            </w:r>
            <w:r>
              <w:rPr>
                <w:rFonts w:ascii="Times New Roman" w:cs="Times New Roman" w:eastAsia="Times New Roman" w:hAnsi="Times New Roman"/>
                <w:sz w:val="20"/>
                <w:szCs w:val="20"/>
              </w:rPr>
              <w:t xml:space="preserve">(a) Wartefrist 15 Monate / Jahressperrfrist – Datum der letzten Mieterhöhung? (b) Kappungsgrenze Berlin (15 % in 3 Jahren) – Mietentwicklung seit 2023; (c) welcher Mietspiegel im Erhöhungsverlangen benannt ist (2024 vs. 2026, in Kraft seit 28.05.2026) und ob die Spanneneinordnung ordnungsgemäß begründet wurde; (d) Wohnfläche 88,84 m² (abgeleitet aus 1.043,87 € ÷ 11,75 €/m²) gegen den Mietvertrag verifizieren.</w:t>
            </w:r>
          </w:p>
          <w:p>
            <w:pPr>
              <w:spacing w:after="100" w:line="280"/>
              <w:jc w:val="both"/>
            </w:pPr>
            <w:r>
              <w:rPr>
                <w:rFonts w:ascii="Times New Roman" w:cs="Times New Roman" w:eastAsia="Times New Roman" w:hAnsi="Times New Roman"/>
                <w:b/>
                <w:bCs/>
                <w:sz w:val="20"/>
                <w:szCs w:val="20"/>
              </w:rPr>
              <w:t xml:space="preserve">8. Mietspiegel-Berechnungen: </w:t>
            </w:r>
            <w:r>
              <w:rPr>
                <w:rFonts w:ascii="Times New Roman" w:cs="Times New Roman" w:eastAsia="Times New Roman" w:hAnsi="Times New Roman"/>
                <w:sz w:val="20"/>
                <w:szCs w:val="20"/>
              </w:rPr>
              <w:t xml:space="preserve">(a) Mietspiegel 2017 – Feld der Wohnung → zulässige Höchstmiete bei Mietbeginn (für Rüge, Anträge IV/V); (b) Mietspiegel 2026 → heutige ortsübliche Vergleichsmiete (für Antrag III). Online-Abfrage: mietspiegel.berlin.de.</w:t>
            </w:r>
          </w:p>
          <w:p>
            <w:pPr>
              <w:spacing w:after="100" w:line="280"/>
              <w:jc w:val="both"/>
            </w:pPr>
            <w:r>
              <w:rPr>
                <w:rFonts w:ascii="Times New Roman" w:cs="Times New Roman" w:eastAsia="Times New Roman" w:hAnsi="Times New Roman"/>
                <w:b/>
                <w:bCs/>
                <w:sz w:val="20"/>
                <w:szCs w:val="20"/>
              </w:rPr>
              <w:t xml:space="preserve">9. Feststellungsinteresse Antrag zu III.: </w:t>
            </w:r>
            <w:r>
              <w:rPr>
                <w:rFonts w:ascii="Times New Roman" w:cs="Times New Roman" w:eastAsia="Times New Roman" w:hAnsi="Times New Roman"/>
                <w:sz w:val="20"/>
                <w:szCs w:val="20"/>
              </w:rPr>
              <w:t xml:space="preserve">Alternative: Zustimmung schlicht verweigern und Zustimmungsklage der Beklagten abwarten (Klagefrist der Beklagten: § 558b Abs. 2 BGB). Die negative Feststellungsklage ist hier wegen Berühmung und Gesamtstreits vertretbar, wird aber bei einer späteren Zustimmungsklage der Beklagten ggf. unzulässig; strategisch entscheiden. Hinweis: Der frühere Entwurfs-Antrag „Abweisung der Mieterhöhung“ war prozessual nicht statthaft und wurde durch diese negative Feststellung ersetzt.</w:t>
            </w:r>
          </w:p>
          <w:p>
            <w:pPr>
              <w:spacing w:after="100" w:line="280"/>
              <w:jc w:val="both"/>
            </w:pPr>
            <w:r>
              <w:rPr>
                <w:rFonts w:ascii="Times New Roman" w:cs="Times New Roman" w:eastAsia="Times New Roman" w:hAnsi="Times New Roman"/>
                <w:b/>
                <w:bCs/>
                <w:sz w:val="20"/>
                <w:szCs w:val="20"/>
              </w:rPr>
              <w:t xml:space="preserve">10. Laufende Zahlungen: </w:t>
            </w:r>
            <w:r>
              <w:rPr>
                <w:rFonts w:ascii="Times New Roman" w:cs="Times New Roman" w:eastAsia="Times New Roman" w:hAnsi="Times New Roman"/>
                <w:sz w:val="20"/>
                <w:szCs w:val="20"/>
              </w:rPr>
              <w:t xml:space="preserve">KEINE einseitige Kürzung der laufenden Miete (Kündigungsrisiko, § 543 Abs. 2 Nr. 3, § 573 Abs. 2 Nr. 1 BGB). Empfehlung: Bruttomiete weiter vollständig „unter Vorbehalt“ zahlen. Stattdessen prüfen: Anpassung der Heizkosten-Vorauszahlung (derzeit 450 €) auf ein angemessenes Niveau nach § 560 Abs. 4 BGB durch gesonderte Erklärung in Textform – konservativ ansetzen und begründen (historischer Verbrauch), um Streit über Zahlungsverzug zu vermeiden.</w:t>
            </w:r>
          </w:p>
          <w:p>
            <w:pPr>
              <w:spacing w:after="100" w:line="280"/>
              <w:jc w:val="both"/>
            </w:pPr>
            <w:r>
              <w:rPr>
                <w:rFonts w:ascii="Times New Roman" w:cs="Times New Roman" w:eastAsia="Times New Roman" w:hAnsi="Times New Roman"/>
                <w:b/>
                <w:bCs/>
                <w:sz w:val="20"/>
                <w:szCs w:val="20"/>
              </w:rPr>
              <w:t xml:space="preserve">11. Zitate verifizieren (Stand Juli 2026): </w:t>
            </w:r>
            <w:r>
              <w:rPr>
                <w:rFonts w:ascii="Times New Roman" w:cs="Times New Roman" w:eastAsia="Times New Roman" w:hAnsi="Times New Roman"/>
                <w:sz w:val="20"/>
                <w:szCs w:val="20"/>
              </w:rPr>
              <w:t xml:space="preserve">Alle Gesetzeswortlaute in den grauen Kästen gegen die aktuelle Fassung abgleichen; Rechtsprechungszitate prüfen/ergänzen: BGH VIII ZR 112/10 (nicht geeichte Messgeräte), BGH-Entscheidung von Dezember 2024 zur Zweiten Berliner MietenbegrenzungsVO (Az. ergänzen), CO2KostAufG-Kürzungsnorm, einschlägige LG-Berlin-Rechtsprechung zu Stellplatz-/Merkmalfragen der Orientierungshilfe.</w:t>
            </w:r>
          </w:p>
          <w:p>
            <w:pPr>
              <w:spacing w:after="100" w:line="280"/>
              <w:jc w:val="both"/>
            </w:pPr>
            <w:r>
              <w:rPr>
                <w:rFonts w:ascii="Times New Roman" w:cs="Times New Roman" w:eastAsia="Times New Roman" w:hAnsi="Times New Roman"/>
                <w:b/>
                <w:bCs/>
                <w:sz w:val="20"/>
                <w:szCs w:val="20"/>
              </w:rPr>
              <w:t xml:space="preserve">12. Kosten / Finanzierung: </w:t>
            </w:r>
            <w:r>
              <w:rPr>
                <w:rFonts w:ascii="Times New Roman" w:cs="Times New Roman" w:eastAsia="Times New Roman" w:hAnsi="Times New Roman"/>
                <w:sz w:val="20"/>
                <w:szCs w:val="20"/>
              </w:rPr>
              <w:t xml:space="preserve">Deckungszusage der Rechtsschutzversicherung vor Einreichung einholen (Streitwert ca. 13.000 €; Kostenrisiko über zwei Instanzen kalkulieren). Alternative für den Mietpreisbremse-Teil: Abtretung an Legal-Tech (z. B. Conny) – kein Kostenrisiko, aber Erfolgsprovision und kein Verbund mit den übrigen Anträgen. Hinweis: Die höchst hilfsweise erklärte Aufrechnung (B.II.8) kann den Streitwert erhöhen (§ 45 Abs. 3 GKG), wenn das Gericht über sie entscheidet.</w:t>
            </w:r>
          </w:p>
          <w:p>
            <w:pPr>
              <w:spacing w:after="100" w:line="280"/>
              <w:jc w:val="both"/>
            </w:pPr>
            <w:r>
              <w:rPr>
                <w:rFonts w:ascii="Times New Roman" w:cs="Times New Roman" w:eastAsia="Times New Roman" w:hAnsi="Times New Roman"/>
                <w:b/>
                <w:bCs/>
                <w:sz w:val="20"/>
                <w:szCs w:val="20"/>
              </w:rPr>
              <w:t xml:space="preserve">13. Falls die Beklagte zuerst klagt </w:t>
            </w:r>
            <w:r>
              <w:rPr>
                <w:rFonts w:ascii="Times New Roman" w:cs="Times New Roman" w:eastAsia="Times New Roman" w:hAnsi="Times New Roman"/>
                <w:sz w:val="20"/>
                <w:szCs w:val="20"/>
              </w:rPr>
              <w:t xml:space="preserve">(Zahlungs- oder Zustimmungsklage): Die Anträge zu I.–VI. spiegelbildlich als Widerklage erheben; die Textbausteine dieses Entwurfs sind unverändert verwendbar. Der Antrag zu I. entfiele dann (Verteidigung gegen die Zahlungsklage).</w:t>
            </w:r>
          </w:p>
          <w:p>
            <w:pPr>
              <w:spacing w:after="100" w:line="280"/>
              <w:jc w:val="both"/>
            </w:pPr>
            <w:r>
              <w:rPr>
                <w:rFonts w:ascii="Times New Roman" w:cs="Times New Roman" w:eastAsia="Times New Roman" w:hAnsi="Times New Roman"/>
                <w:b/>
                <w:bCs/>
                <w:sz w:val="20"/>
                <w:szCs w:val="20"/>
              </w:rPr>
              <w:t xml:space="preserve">14. Streitwert (vorläufige Zusammensetzung): </w:t>
            </w:r>
            <w:r>
              <w:rPr>
                <w:rFonts w:ascii="Times New Roman" w:cs="Times New Roman" w:eastAsia="Times New Roman" w:hAnsi="Times New Roman"/>
                <w:sz w:val="20"/>
                <w:szCs w:val="20"/>
              </w:rPr>
              <w:t xml:space="preserve">Antrag I: 3.344,04 € · Antrag II: 3.174,52 € · Antrag III: 1.162,44 € (12 × 96,87 €, § 41 Abs. 5 GKG) · Antrag IV (Stufenklage, geschätzt): 2.500,00 € · Antrag V (geschätzt): 2.500,00 € · Antrag VI: 500,00 € → Summe ca. 13.181,00 €.</w:t>
            </w:r>
          </w:p>
          <w:p>
            <w:pPr>
              <w:spacing w:after="0" w:line="280"/>
              <w:jc w:val="both"/>
            </w:pPr>
            <w:r>
              <w:rPr>
                <w:rFonts w:ascii="Times New Roman" w:cs="Times New Roman" w:eastAsia="Times New Roman" w:hAnsi="Times New Roman"/>
                <w:b/>
                <w:bCs/>
                <w:sz w:val="20"/>
                <w:szCs w:val="20"/>
              </w:rPr>
              <w:t xml:space="preserve">15. Beweisangebote vervollständigen: </w:t>
            </w:r>
            <w:r>
              <w:rPr>
                <w:rFonts w:ascii="Times New Roman" w:cs="Times New Roman" w:eastAsia="Times New Roman" w:hAnsi="Times New Roman"/>
                <w:sz w:val="20"/>
                <w:szCs w:val="20"/>
              </w:rPr>
              <w:t xml:space="preserve">Zeugen mit ladungsfähigen Anschriften (Techem-Sachbearbeiter, Monteur, Haushaltsangehörige/Besucher), Fotodokumentation datieren, ggf. Messprotokoll/Thermografie für den Mangelzeitraum nachreichen.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f83fab2f0cfe192cb0edd3aecb0271aa245c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2026-07-09T13:12:23.020Z</dcterms:created>
  <dcterms:modified xsi:type="dcterms:W3CDTF">2026-07-09T13:12:23.037Z</dcterms:modified>
</cp:coreProperties>
</file>

<file path=docProps/custom.xml><?xml version="1.0" encoding="utf-8"?>
<Properties xmlns="http://schemas.openxmlformats.org/officeDocument/2006/custom-properties" xmlns:vt="http://schemas.openxmlformats.org/officeDocument/2006/docPropsVTypes"/>
</file>