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3F612" w14:textId="77777777" w:rsidR="00DD29C0" w:rsidRPr="00DC7365" w:rsidRDefault="00DC7365">
      <w:pPr>
        <w:spacing w:after="320"/>
        <w:rPr>
          <w:lang w:val="de-DE"/>
        </w:rPr>
      </w:pPr>
      <w:r w:rsidRPr="00DC7365">
        <w:rPr>
          <w:b/>
          <w:lang w:val="de-DE"/>
        </w:rPr>
        <w:t xml:space="preserve">Einreichungshinweis (nicht Teil des Petitionstextes). </w:t>
      </w:r>
      <w:r w:rsidRPr="00DC7365">
        <w:rPr>
          <w:i/>
          <w:lang w:val="de-DE"/>
        </w:rPr>
        <w:t xml:space="preserve">Einreichung als ÖFFENTLICHE Petition über epetitionen.bundestag.de (Option „Petition zur Veröffentlichung einreichen“). Diese Fassung enthält bewusst keine Namen, keine </w:t>
      </w:r>
      <w:r w:rsidRPr="00DC7365">
        <w:rPr>
          <w:i/>
          <w:lang w:val="de-DE"/>
        </w:rPr>
        <w:t xml:space="preserve">Einzelfalldetails und keine Aktenzeichen Dritter — nur die abstrahierte, systemische Frage, um die Moderationsprüfung sicher zu bestehen und öffentliche Mitzeichnung sowie Medienaufmerksamkeit zu ermöglichen. Ziel: 50.000 Mitzeichnungen binnen vier Wochen </w:t>
      </w:r>
      <w:r w:rsidRPr="00DC7365">
        <w:rPr>
          <w:i/>
          <w:lang w:val="de-DE"/>
        </w:rPr>
        <w:t>für eine öffentliche Ausschussberatung. Die personenbezogene, detaillierte Fassung wurde parallel als nicht veröffentlichte Einzelpetition eingereicht.</w:t>
      </w:r>
    </w:p>
    <w:p w14:paraId="6553EE92" w14:textId="77777777" w:rsidR="00DD29C0" w:rsidRPr="00DC7365" w:rsidRDefault="00DC7365">
      <w:pPr>
        <w:spacing w:after="0"/>
        <w:rPr>
          <w:lang w:val="de-DE"/>
        </w:rPr>
      </w:pPr>
      <w:r w:rsidRPr="00DC7365">
        <w:rPr>
          <w:lang w:val="de-DE"/>
        </w:rPr>
        <w:t>An den Deutschen Bundestag — Petitionsausschuss</w:t>
      </w:r>
    </w:p>
    <w:p w14:paraId="5FF455AB" w14:textId="77777777" w:rsidR="00DD29C0" w:rsidRPr="00DC7365" w:rsidRDefault="00DC7365">
      <w:pPr>
        <w:spacing w:after="320"/>
        <w:rPr>
          <w:lang w:val="de-DE"/>
        </w:rPr>
      </w:pPr>
      <w:r w:rsidRPr="00DC7365">
        <w:rPr>
          <w:lang w:val="de-DE"/>
        </w:rPr>
        <w:t>Platz der Republik 1, 11011 Berlin</w:t>
      </w:r>
    </w:p>
    <w:p w14:paraId="3B8759E9" w14:textId="77777777" w:rsidR="00DD29C0" w:rsidRPr="00DC7365" w:rsidRDefault="00DC7365">
      <w:pPr>
        <w:rPr>
          <w:lang w:val="de-DE"/>
        </w:rPr>
      </w:pPr>
      <w:r w:rsidRPr="00DC7365">
        <w:rPr>
          <w:b/>
          <w:sz w:val="28"/>
          <w:lang w:val="de-DE"/>
        </w:rPr>
        <w:t xml:space="preserve">Öffentliche Petition </w:t>
      </w:r>
      <w:r w:rsidRPr="00DC7365">
        <w:rPr>
          <w:b/>
          <w:sz w:val="28"/>
          <w:lang w:val="de-DE"/>
        </w:rPr>
        <w:t>gemäß Art. 17 GG</w:t>
      </w:r>
    </w:p>
    <w:p w14:paraId="529122D9" w14:textId="77777777" w:rsidR="00DD29C0" w:rsidRPr="00DC7365" w:rsidRDefault="00DC7365">
      <w:pPr>
        <w:spacing w:after="280"/>
        <w:rPr>
          <w:lang w:val="de-DE"/>
        </w:rPr>
      </w:pPr>
      <w:r w:rsidRPr="00DC7365">
        <w:rPr>
          <w:b/>
          <w:lang w:val="de-DE"/>
        </w:rPr>
        <w:t>Betreff: Parlamentarische Kontrolle automatisierter Bearbeitungsalgorithmen in Bundesbehörden — verbindliche menschliche Kenntnisnahme bei grundrechtsrelevanten Bürgereingaben</w:t>
      </w:r>
    </w:p>
    <w:p w14:paraId="24F2CB8E" w14:textId="77777777" w:rsidR="00DD29C0" w:rsidRPr="00DC7365" w:rsidRDefault="00DC7365">
      <w:pPr>
        <w:spacing w:after="160"/>
        <w:rPr>
          <w:lang w:val="de-DE"/>
        </w:rPr>
      </w:pPr>
      <w:r w:rsidRPr="00DC7365">
        <w:rPr>
          <w:b/>
          <w:lang w:val="de-DE"/>
        </w:rPr>
        <w:t>I. Anliegen</w:t>
      </w:r>
    </w:p>
    <w:p w14:paraId="1177CF92" w14:textId="77777777" w:rsidR="00DD29C0" w:rsidRPr="00DC7365" w:rsidRDefault="00DC7365">
      <w:pPr>
        <w:spacing w:after="280"/>
        <w:rPr>
          <w:lang w:val="de-DE"/>
        </w:rPr>
      </w:pPr>
      <w:r w:rsidRPr="00DC7365">
        <w:rPr>
          <w:lang w:val="de-DE"/>
        </w:rPr>
        <w:t>Ich bitte den Deutschen Bundestag zu prüfen, ob aut</w:t>
      </w:r>
      <w:r w:rsidRPr="00DC7365">
        <w:rPr>
          <w:lang w:val="de-DE"/>
        </w:rPr>
        <w:t>omatisierte Bearbeitungssysteme in Bundesbehörden, die eingehende Bürgeranfragen ohne inhaltliche Prüfung durch Menschen algorithmisch schließen oder aussortieren, mit dem Petitionsrecht (Art. 17 GG), der Bindung aller staatlichen Gewalt an die Grundrechte</w:t>
      </w:r>
      <w:r w:rsidRPr="00DC7365">
        <w:rPr>
          <w:lang w:val="de-DE"/>
        </w:rPr>
        <w:t xml:space="preserve"> (Art. 1 Abs. 3 GG) und dem Verhältnismäßigkeitsgrundsatz vereinbar sind — und darauf hinzuwirken, dass für Eingaben mit Hinweisen auf Gefahren für Leib und Leben oder schwere Rechtsgutsverletzungen eine verbindliche, dokumentierte menschliche Kenntnisnahm</w:t>
      </w:r>
      <w:r w:rsidRPr="00DC7365">
        <w:rPr>
          <w:lang w:val="de-DE"/>
        </w:rPr>
        <w:t>e vorgeschrieben wird, bevor eine automatisierte Schließung erfolgt.</w:t>
      </w:r>
    </w:p>
    <w:p w14:paraId="3C62C45E" w14:textId="77777777" w:rsidR="00DD29C0" w:rsidRPr="00DC7365" w:rsidRDefault="00DC7365">
      <w:pPr>
        <w:spacing w:after="160"/>
        <w:rPr>
          <w:lang w:val="de-DE"/>
        </w:rPr>
      </w:pPr>
      <w:r w:rsidRPr="00DC7365">
        <w:rPr>
          <w:b/>
          <w:lang w:val="de-DE"/>
        </w:rPr>
        <w:t>II. Hintergrund — die strukturelle Frage</w:t>
      </w:r>
    </w:p>
    <w:p w14:paraId="34142A0F" w14:textId="77777777" w:rsidR="00DD29C0" w:rsidRDefault="00DC7365">
      <w:pPr>
        <w:spacing w:after="280"/>
      </w:pPr>
      <w:r w:rsidRPr="00DC7365">
        <w:rPr>
          <w:lang w:val="de-DE"/>
        </w:rPr>
        <w:t>Bundesbehörden setzen zur Bewältigung hoher Fallzahlen zunehmend automatisierte Anfragemanagementsysteme ein. Solche Systeme können nach dokumenti</w:t>
      </w:r>
      <w:r w:rsidRPr="00DC7365">
        <w:rPr>
          <w:lang w:val="de-DE"/>
        </w:rPr>
        <w:t>erten Angaben betroffener Bürger Eingaben „nach Versand einer automatischen Antwort ungelesen schließen“, wenn ein bestimmtes Fallaufkommen überschritten wird. Ein Bearbeitungssystem, das nicht nach dem inhaltlichen Gewicht einer Eingabe differenziert, beh</w:t>
      </w:r>
      <w:r w:rsidRPr="00DC7365">
        <w:rPr>
          <w:lang w:val="de-DE"/>
        </w:rPr>
        <w:t>andelt einen Hinweis auf eine mögliche schwere Menschenrechtsverletzung oder eine akute Gefahrenlage verfahrensmäßig identisch mit einer allgemeinen Informationsanfrage.</w:t>
      </w:r>
      <w:r w:rsidRPr="00DC7365">
        <w:rPr>
          <w:lang w:val="de-DE"/>
        </w:rPr>
        <w:br/>
      </w:r>
      <w:r w:rsidRPr="00DC7365">
        <w:rPr>
          <w:lang w:val="de-DE"/>
        </w:rPr>
        <w:br/>
        <w:t>Die quantitative Dimension dieses Risikos ist erheblich: Bei einem behördlich eingerä</w:t>
      </w:r>
      <w:r w:rsidRPr="00DC7365">
        <w:rPr>
          <w:lang w:val="de-DE"/>
        </w:rPr>
        <w:t>umten Aufkommen von rund 260.000 Bürgereingaben jährlich würde bereits eine Fehlerquote von nur 1 % im automatisierten Filtermechanismus bedeuten, dass jährlich etwa 2.600 potenziell grundrechtlich relevante Eingaben ohne jede menschliche Kenntnisnahme blo</w:t>
      </w:r>
      <w:r w:rsidRPr="00DC7365">
        <w:rPr>
          <w:lang w:val="de-DE"/>
        </w:rPr>
        <w:t xml:space="preserve">ckiert werden. Bei mehreren vergleichbaren Systemen in verschiedenen Bundesbehörden summiert sich dieses </w:t>
      </w:r>
      <w:r w:rsidRPr="00DC7365">
        <w:rPr>
          <w:lang w:val="de-DE"/>
        </w:rPr>
        <w:lastRenderedPageBreak/>
        <w:t>Risiko auf eine strukturell bedeutsame Größenordnung.</w:t>
      </w:r>
      <w:r w:rsidRPr="00DC7365">
        <w:rPr>
          <w:lang w:val="de-DE"/>
        </w:rPr>
        <w:br/>
      </w:r>
      <w:r w:rsidRPr="00DC7365">
        <w:rPr>
          <w:lang w:val="de-DE"/>
        </w:rPr>
        <w:br/>
      </w:r>
      <w:r>
        <w:t>Für Betroffene, die sich in akuten Notlagen an deutsche Behörden wenden — etwa Personen im Inlan</w:t>
      </w:r>
      <w:r>
        <w:t>d, die auf eine zeitnahe behördliche Reaktion angewiesen sind — kann eine verzögerte oder ausbleibende Reaktion gravierende, im Einzelfall irreversible Folgen haben, wenn die algorithmische Vorsortierung eine inhaltliche Prüfung durch Menschen verhindert o</w:t>
      </w:r>
      <w:r>
        <w:t>der erheblich verzögert.</w:t>
      </w:r>
    </w:p>
    <w:p w14:paraId="049E481C" w14:textId="77777777" w:rsidR="00DD29C0" w:rsidRDefault="00DC7365">
      <w:pPr>
        <w:spacing w:after="160"/>
      </w:pPr>
      <w:r>
        <w:rPr>
          <w:b/>
        </w:rPr>
        <w:t>III. Strukturelle Bewertung</w:t>
      </w:r>
    </w:p>
    <w:p w14:paraId="474118A9" w14:textId="77777777" w:rsidR="00DD29C0" w:rsidRDefault="00DC7365">
      <w:r>
        <w:rPr>
          <w:b/>
        </w:rPr>
        <w:t xml:space="preserve">1. Petitionsrecht (Art. 17 GG). </w:t>
      </w:r>
      <w:r>
        <w:t>Das Petitionsgrundrecht gewährleistet nicht nur die Entgegennahme, sondern auch die inhaltliche Kenntnisnahme und sachliche Bescheidung von Eingaben. Eine algorithmische S</w:t>
      </w:r>
      <w:r>
        <w:t>chließung ohne inhaltliche Prüfung nimmt den Inhalt gerade nicht zur Kenntnis.</w:t>
      </w:r>
    </w:p>
    <w:p w14:paraId="275BF7F8" w14:textId="77777777" w:rsidR="00DD29C0" w:rsidRDefault="00DC7365">
      <w:r>
        <w:rPr>
          <w:b/>
        </w:rPr>
        <w:t xml:space="preserve">2. Verhältnismäßigkeit und Art. 1 Abs. 3 GG. </w:t>
      </w:r>
      <w:r>
        <w:t>Art und Intensität der behördlichen Befassung müssen zum Gewicht des betroffenen Rechtsguts in einem angemessenen Verhältnis stehen.</w:t>
      </w:r>
      <w:r>
        <w:t xml:space="preserve"> Die Bindung aller staatlichen Gewalt an die Grundrechte wirkt bereits an der Eingangsschwelle der Verwaltung — auch wenn diese Schwelle algorithmisch ausgestaltet ist.</w:t>
      </w:r>
    </w:p>
    <w:p w14:paraId="0E44A024" w14:textId="77777777" w:rsidR="00DD29C0" w:rsidRDefault="00DC7365">
      <w:r>
        <w:rPr>
          <w:b/>
        </w:rPr>
        <w:t xml:space="preserve">3. Parlamentarische Kontrolle. </w:t>
      </w:r>
      <w:r>
        <w:t>Eine Praxis, die keine inhaltlichen Bearbeitungsspuren e</w:t>
      </w:r>
      <w:r>
        <w:t>rzeugt, verkürzt die Informationsgrundlage, auf der der Bundestag die Tätigkeit der Bundesregierung kontrollieren kann. Ohne Dokumentationspflicht ist eine nachträgliche parlamentarische oder gerichtliche Prüfung solcher Systeme faktisch ausgeschlossen.</w:t>
      </w:r>
    </w:p>
    <w:p w14:paraId="79C03DA5" w14:textId="77777777" w:rsidR="00DD29C0" w:rsidRDefault="00DC7365">
      <w:r>
        <w:rPr>
          <w:b/>
        </w:rPr>
        <w:t>4.</w:t>
      </w:r>
      <w:r>
        <w:rPr>
          <w:b/>
        </w:rPr>
        <w:t xml:space="preserve"> Fehlende Rechenschaftspflicht. </w:t>
      </w:r>
      <w:r>
        <w:t>Nach derzeitigem Kenntnisstand existiert für derartige Filteralgorithmen in Bundesbehörden keine einheitliche, öffentlich einsehbare Regeldokumentation und keine verpflichtende Fehlerquotenberichterstattung.</w:t>
      </w:r>
    </w:p>
    <w:p w14:paraId="5F09E876" w14:textId="77777777" w:rsidR="00DD29C0" w:rsidRDefault="00DC7365">
      <w:pPr>
        <w:spacing w:after="160"/>
      </w:pPr>
      <w:r>
        <w:rPr>
          <w:b/>
        </w:rPr>
        <w:t>IV. Bitten an de</w:t>
      </w:r>
      <w:r>
        <w:rPr>
          <w:b/>
        </w:rPr>
        <w:t>n Ausschuss</w:t>
      </w:r>
    </w:p>
    <w:p w14:paraId="1A27EB15" w14:textId="77777777" w:rsidR="00DD29C0" w:rsidRDefault="00DC7365">
      <w:pPr>
        <w:pStyle w:val="ListNumber"/>
      </w:pPr>
      <w:r>
        <w:t>Aufklärung, in welchen Bundesbehörden automatisierte Systeme zur Vorsortierung oder Schließung von Bürgereingaben eingesetzt werden und nach welchen dokumentierten Kriterien dies erfolgt;</w:t>
      </w:r>
    </w:p>
    <w:p w14:paraId="087253E8" w14:textId="77777777" w:rsidR="00DD29C0" w:rsidRDefault="00DC7365">
      <w:pPr>
        <w:pStyle w:val="ListNumber"/>
      </w:pPr>
      <w:r>
        <w:t xml:space="preserve">Prüfung, ob diese Systeme mit Art. 17 GG, Art. 1 Abs. 3 </w:t>
      </w:r>
      <w:r>
        <w:t>GG und dem Verhältnismäßigkeitsgrundsatz vereinbar sind;</w:t>
      </w:r>
    </w:p>
    <w:p w14:paraId="2509A581" w14:textId="77777777" w:rsidR="00DD29C0" w:rsidRDefault="00DC7365">
      <w:pPr>
        <w:pStyle w:val="ListNumber"/>
      </w:pPr>
      <w:r>
        <w:t>Hinwirken auf eine gesetzliche oder verwaltungsinterne Verpflichtung, wonach Eingaben mit Hinweisen auf Gefahren für Leib und Leben oder schwere Rechtsgutsverletzungen nicht automatisiert geschlossen</w:t>
      </w:r>
      <w:r>
        <w:t xml:space="preserve"> werden dürfen, bevor ein Mensch ihren Inhalt zur Kenntnis genommen hat;</w:t>
      </w:r>
    </w:p>
    <w:p w14:paraId="7E1EFE81" w14:textId="77777777" w:rsidR="00DD29C0" w:rsidRDefault="00DC7365">
      <w:pPr>
        <w:pStyle w:val="ListNumber"/>
      </w:pPr>
      <w:r>
        <w:t>Hinwirken auf verpflichtende, öffentlich zugängliche Dokumentation der Funktionsweise und Fehlerquote solcher Systeme, um parlamentarische und gerichtliche Kontrolle zu ermöglichen;</w:t>
      </w:r>
    </w:p>
    <w:p w14:paraId="0616A75C" w14:textId="77777777" w:rsidR="00DD29C0" w:rsidRDefault="00DC7365">
      <w:pPr>
        <w:pStyle w:val="ListNumber"/>
      </w:pPr>
      <w:r>
        <w:lastRenderedPageBreak/>
        <w:t>M</w:t>
      </w:r>
      <w:r>
        <w:t>itteilung des Ergebnisses; um Eingangsbestätigung und Zuteilung eines Aktenzeichens wird gebeten.</w:t>
      </w:r>
    </w:p>
    <w:p w14:paraId="2E1F17B7" w14:textId="6E9829C6" w:rsidR="00DD29C0" w:rsidRPr="00DC7365" w:rsidRDefault="00DC7365">
      <w:pPr>
        <w:spacing w:after="400"/>
        <w:rPr>
          <w:lang w:val="de-DE"/>
        </w:rPr>
      </w:pPr>
      <w:r w:rsidRPr="00DC7365">
        <w:rPr>
          <w:lang w:val="de-DE"/>
        </w:rPr>
        <w:t>Ort, Datum ____________________  Unterschrift ________________</w:t>
      </w:r>
      <w:r w:rsidRPr="00DC7365">
        <w:rPr>
          <w:lang w:val="de-DE"/>
        </w:rPr>
        <w:t>(Dr.</w:t>
      </w:r>
      <w:r>
        <w:rPr>
          <w:lang w:val="de-DE"/>
        </w:rPr>
        <w:t xml:space="preserve"> Artiom</w:t>
      </w:r>
      <w:r w:rsidRPr="00DC7365">
        <w:rPr>
          <w:lang w:val="de-DE"/>
        </w:rPr>
        <w:t xml:space="preserve"> A. Kovnatsky)</w:t>
      </w:r>
    </w:p>
    <w:p w14:paraId="79DD9028" w14:textId="77777777" w:rsidR="00DD29C0" w:rsidRDefault="00DC7365">
      <w:r>
        <w:rPr>
          <w:b/>
        </w:rPr>
        <w:t>Anlage — Kurzfassung für das Online-Portal (epetitionen.bundestag.de)</w:t>
      </w:r>
    </w:p>
    <w:p w14:paraId="43F05614" w14:textId="77777777" w:rsidR="00DD29C0" w:rsidRDefault="00DC7365">
      <w:pPr>
        <w:spacing w:after="0"/>
      </w:pPr>
      <w:r>
        <w:t>Ic</w:t>
      </w:r>
      <w:r>
        <w:t>h bitte den Deutschen Bundestag zu prüfen, ob automatisierte Bearbeitungssysteme in Bundesbehörden, die Bürgeranfragen ohne inhaltliche Prüfung durch Menschen algorithmisch schließen, mit dem Petitionsrecht (Art. 17 GG) und der Bindung aller staatlichen Ge</w:t>
      </w:r>
      <w:r>
        <w:t>walt an die Grundrechte (Art. 1 Abs. 3 GG) vereinbar sind.</w:t>
      </w:r>
      <w:r>
        <w:br/>
      </w:r>
      <w:r>
        <w:br/>
        <w:t>Bei einem Aufkommen von hunderttausenden Eingaben jährlich würde bereits eine Fehlerquote von 1 % im automatisierten Filtermechanismus bedeuten, dass tausende potenziell grundrechtlich relevante E</w:t>
      </w:r>
      <w:r>
        <w:t>ingaben ohne menschliche Kenntnisnahme blockiert werden — mit im Einzelfall gravierenden Folgen für Betroffene, die auf eine zeitnahe behördliche Reaktion angewiesen sind.</w:t>
      </w:r>
      <w:r>
        <w:br/>
      </w:r>
      <w:r>
        <w:br/>
        <w:t>Ich bitte darauf hinzuwirken, dass Eingaben mit Hinweisen auf Gefahren für Leib und</w:t>
      </w:r>
      <w:r>
        <w:t xml:space="preserve"> Leben oder schwere Rechtsgutsverletzungen nicht automatisiert geschlossen werden dürfen, bevor ein Mensch ihren Inhalt zur Kenntnis genommen hat, und dass die Funktionsweise solcher Systeme öffentlich dokumentiert wird.</w:t>
      </w:r>
    </w:p>
    <w:sectPr w:rsidR="00DD29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C7365"/>
    <w:rsid w:val="00DD2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E93A4"/>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2026-07-07T10:45:00Z</dcterms:modified>
  <cp:category/>
</cp:coreProperties>
</file>