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Verwaltungsgericht Berlin</w:t>
        <w:br/>
      </w:r>
      <w:r>
        <w:t>Az.: VG 2 K 202/26</w:t>
        <w:br/>
        <w:br/>
      </w:r>
      <w:r>
        <w:rPr>
          <w:b/>
          <w:sz w:val="32"/>
        </w:rPr>
        <w:t>Ergänzender Schriftsatz</w:t>
        <w:br/>
      </w:r>
      <w:r>
        <w:t>zum Antrag auf Akteneinsicht</w:t>
        <w:br/>
      </w:r>
      <w:r>
        <w:t>und auf Vorlage der vollständigen Behördenakte</w:t>
      </w:r>
    </w:p>
    <w:p>
      <w:r>
        <w:br w:type="page"/>
      </w:r>
    </w:p>
    <w:p>
      <w:pPr>
        <w:pStyle w:val="Heading1"/>
      </w:pPr>
      <w:r>
        <w:t>Inhaltsverzeichnis</w:t>
      </w:r>
    </w:p>
    <w:p>
      <w:pPr>
        <w:pStyle w:val="ListBullet"/>
      </w:pPr>
      <w:r>
        <w:t>I. Verfahrensstand und Gegenstand des Schriftsatzes</w:t>
      </w:r>
    </w:p>
    <w:p>
      <w:pPr>
        <w:pStyle w:val="ListBullet"/>
      </w:pPr>
      <w:r>
        <w:t>II. Anlass des Schriftsatzes</w:t>
      </w:r>
    </w:p>
    <w:p>
      <w:pPr>
        <w:pStyle w:val="ListBullet"/>
      </w:pPr>
      <w:r>
        <w:t>III. Rechtlicher Rahmen</w:t>
      </w:r>
    </w:p>
    <w:p>
      <w:pPr>
        <w:pStyle w:val="ListBullet"/>
      </w:pPr>
      <w:r>
        <w:t>IV. Erforderliche Bestandteile der Behördenakte</w:t>
      </w:r>
    </w:p>
    <w:p>
      <w:pPr>
        <w:pStyle w:val="ListBullet"/>
      </w:pPr>
      <w:r>
        <w:t>V. Vorgehen bei fehlenden Unterlagen</w:t>
      </w:r>
    </w:p>
    <w:p>
      <w:pPr>
        <w:pStyle w:val="ListBullet"/>
      </w:pPr>
      <w:r>
        <w:t>VI. Anträge</w:t>
      </w:r>
    </w:p>
    <w:p>
      <w:pPr>
        <w:pStyle w:val="ListBullet"/>
      </w:pPr>
      <w:r>
        <w:t>VII. Anlagenverzeichnis</w:t>
      </w:r>
    </w:p>
    <w:p>
      <w:r>
        <w:br w:type="page"/>
      </w:r>
    </w:p>
    <w:p>
      <w:pPr>
        <w:pStyle w:val="Heading1"/>
      </w:pPr>
      <w:r>
        <w:t>I. Verfahrensstand und Gegenstand des Schriftsatzes</w:t>
      </w:r>
    </w:p>
    <w:p>
      <w:r>
        <w:t>Mit diesem Schriftsatz werden die bereits im Verfahren gestellten Anträge auf Akteneinsicht und auf Vorlage der Behördenakte näher strukturiert und erläutert. Ziel ist es, dem Gericht eine übersichtliche Grundlage für die Prüfung der Vollständigkeit der vorgelegten Verwaltungsunterlagen zu geben.</w:t>
      </w:r>
    </w:p>
    <w:p>
      <w:r>
        <w:t>Der Schriftsatz dient der Ordnung und Präzisierung des bisherigen Vorbringens. Er verfolgt nicht das Ziel, den Streitgegenstand zu erweitern oder neue selbständige Anträge einzuführen.</w:t>
      </w:r>
    </w:p>
    <w:p>
      <w:r>
        <w:t>Aus Sicht des Klägers ist für die gerichtliche Prüfung insbesondere von Bedeutung, dass die Behördenakte – soweit vorhanden – sowohl ihre papiergebundenen als auch ihre elektronischen Bestandteile umfasst und nachvollziehbar geordnet vorgelegt wird.</w:t>
      </w:r>
    </w:p>
    <w:p>
      <w:r>
        <w:t>Zur besseren Nachvollziehbarkeit wird angeregt, die Akten nach Dokumentengruppen zu strukturieren und innerhalb jeder Gruppe chronologisch zu ordnen. Die beigefügten Anlagen dienen ausschließlich der besseren Orientierung und sollen die Prüfung der Vollständigkeit erleichtern.</w:t>
      </w:r>
    </w:p>
    <w:p>
      <w:pPr>
        <w:pStyle w:val="Heading2"/>
      </w:pPr>
      <w:r>
        <w:t>Ziel des weiteren Schriftsatzes</w:t>
      </w:r>
    </w:p>
    <w:p>
      <w:r>
        <w:t>Die folgenden Kapitel befassen sich mit den rechtlichen und tatsächlichen Gründen für die beantragte Aktenvorlage, den erwarteten Bestandteilen der Behördenakte, dem Umgang mit möglicherweise fehlenden Unterlagen sowie den abschließenden Anträgen. Die Anlagen A bis F ergänzen diese Ausführungen durch Übersichten, Checklisten und Suchhilfen.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