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EILANTRAG — KURZÜBERSICHT</w:t>
      </w:r>
    </w:p>
    <w:p>
      <w:pPr>
        <w:spacing w:after="16" w:before="0"/>
        <w:jc w:val="center"/>
      </w:pPr>
      <w:r>
        <w:rPr>
          <w:rFonts w:ascii="Georgia" w:cs="Georgia" w:eastAsia="Georgia" w:hAnsi="Georgia"/>
          <w:b/>
          <w:bCs/>
          <w:color w:val="8B0000"/>
          <w:sz w:val="21"/>
          <w:szCs w:val="21"/>
        </w:rPr>
        <w:t xml:space="preserve">Antrag auf Sicherung (Einfrieren) von Beweismitteln — § 123 VwGO</w:t>
      </w:r>
    </w:p>
    <w:p>
      <w:pPr>
        <w:spacing w:after="16" w:before="0"/>
        <w:jc w:val="center"/>
      </w:pPr>
      <w:r>
        <w:rPr>
          <w:rFonts w:ascii="Georgia" w:cs="Georgia" w:eastAsia="Georgia" w:hAnsi="Georgia"/>
          <w:i/>
          <w:iCs/>
          <w:color w:val="555555"/>
          <w:sz w:val="19"/>
          <w:szCs w:val="19"/>
        </w:rPr>
        <w:t xml:space="preserve">Vorgang 759bc4c4 / GZ R20-511.03 IFG 123-2026 — VG Berlin, 25.06.2026</w:t>
      </w:r>
    </w:p>
    <w:p>
      <w:pPr>
        <w:pBdr>
          <w:bottom w:val="single" w:color="AAAAAA" w:sz="2" w:space="1"/>
        </w:pBdr>
        <w:spacing w:after="90" w:before="90"/>
      </w:pPr>
    </w:p>
    <w:p>
      <w:pPr>
        <w:spacing w:after="50" w:before="150"/>
      </w:pPr>
      <w:r>
        <w:rPr>
          <w:rFonts w:ascii="Georgia" w:cs="Georgia" w:eastAsia="Georgia" w:hAnsi="Georgia"/>
          <w:b/>
          <w:bCs/>
          <w:color w:val="333333"/>
          <w:sz w:val="22"/>
          <w:szCs w:val="22"/>
        </w:rPr>
        <w:t xml:space="preserve">1. Was wird beantragt?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Allein die Sicherung des Status quo. Der Antragsgegnerin soll aufgegeben werden, sämtliche den Vorgang 759bc4c4 betreffenden Daten und Metadaten — insbesondere die als „privileged“ geführten Anhänge sowie alle Zugriffs-, Bearbeitungs- und Statusänderungsprotokolle des Systems FACIL — bis zur Entscheidung in der Hauptsache weder zu löschen noch zu verändern oder umzuklassifizieren. Es wird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ausdrücklich keine Herausgabe</w:t>
      </w:r>
      <w:r>
        <w:rPr>
          <w:rFonts w:ascii="Georgia" w:cs="Georgia" w:eastAsia="Georgia" w:hAnsi="Georgia"/>
          <w:sz w:val="22"/>
          <w:szCs w:val="22"/>
        </w:rPr>
        <w:t xml:space="preserve"> verlangt; diese ist Gegenstand der Hauptsache.</w:t>
      </w:r>
    </w:p>
    <w:p>
      <w:pPr>
        <w:spacing w:after="50" w:before="150"/>
      </w:pPr>
      <w:r>
        <w:rPr>
          <w:rFonts w:ascii="Georgia" w:cs="Georgia" w:eastAsia="Georgia" w:hAnsi="Georgia"/>
          <w:b/>
          <w:bCs/>
          <w:color w:val="333333"/>
          <w:sz w:val="22"/>
          <w:szCs w:val="22"/>
        </w:rPr>
        <w:t xml:space="preserve">2. Warum ist die Sicherung dringend? (Anordnungsgrund)</w:t>
      </w:r>
    </w:p>
    <w:p>
      <w:pPr>
        <w:spacing w:after="30" w:before="3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(a) </w:t>
      </w:r>
      <w:r>
        <w:rPr>
          <w:rFonts w:ascii="Georgia" w:cs="Georgia" w:eastAsia="Georgia" w:hAnsi="Georgia"/>
          <w:sz w:val="22"/>
          <w:szCs w:val="22"/>
        </w:rPr>
        <w:t xml:space="preserve">Die entscheidenden Metadaten liegen ausschließlich in der Sphäre der Antragsgegnerin; der Antragsteller kann sie — anders als die inhaltlichen Dokumente — nicht selbst sichern.</w:t>
      </w:r>
    </w:p>
    <w:p>
      <w:pPr>
        <w:spacing w:after="30" w:before="3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(b) </w:t>
      </w:r>
      <w:r>
        <w:rPr>
          <w:rFonts w:ascii="Georgia" w:cs="Georgia" w:eastAsia="Georgia" w:hAnsi="Georgia"/>
          <w:sz w:val="22"/>
          <w:szCs w:val="22"/>
        </w:rPr>
        <w:t xml:space="preserve">Die Antragsgegnerin hat in ihrer internen Weiterleitung vom 22.10.2025 selbst eine Anweisung zur Löschung von Anlagen dokumentiert und mitgeteilt, Vorgänge würden „ungelesen geschlossen“.</w:t>
      </w:r>
    </w:p>
    <w:p>
      <w:pPr>
        <w:spacing w:after="30" w:before="3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(c) </w:t>
      </w:r>
      <w:r>
        <w:rPr>
          <w:rFonts w:ascii="Georgia" w:cs="Georgia" w:eastAsia="Georgia" w:hAnsi="Georgia"/>
          <w:sz w:val="22"/>
          <w:szCs w:val="22"/>
        </w:rPr>
        <w:t xml:space="preserve">Der Antragsteller hat bereits Anfang April 2026 (~08.04.2026) einen mutmaßlichen Angriff auf seine eigene Beweisarchiv-Infrastruktur dokumentiert. Die Gefahr eines Beweisverlusts ist daher nicht abstrakt, sondern durch einen bereits erlebten Vorfall konkretisiert.</w:t>
      </w:r>
    </w:p>
    <w:p>
      <w:pPr>
        <w:spacing w:after="30" w:before="30"/>
        <w:jc w:val="both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(d) </w:t>
      </w:r>
      <w:r>
        <w:rPr>
          <w:rFonts w:ascii="Georgia" w:cs="Georgia" w:eastAsia="Georgia" w:hAnsi="Georgia"/>
          <w:sz w:val="22"/>
          <w:szCs w:val="22"/>
        </w:rPr>
        <w:t xml:space="preserve">Der Antragsteller hat die Antragsgegnerin mit Schreiben vom 24.06.2026 erfolglos um eine schriftliche Bestätigung der Datenintegrität gebeten.</w:t>
      </w:r>
    </w:p>
    <w:p>
      <w:pPr>
        <w:spacing w:after="50" w:before="150"/>
      </w:pPr>
      <w:r>
        <w:rPr>
          <w:rFonts w:ascii="Georgia" w:cs="Georgia" w:eastAsia="Georgia" w:hAnsi="Georgia"/>
          <w:b/>
          <w:bCs/>
          <w:color w:val="333333"/>
          <w:sz w:val="22"/>
          <w:szCs w:val="22"/>
        </w:rPr>
        <w:t xml:space="preserve">3. Warum ist der Eingriff gering? (Verhältnismäßigkeit)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Eine Sicherungsanordnung bewahrt allein die Entscheidungsgrundlage. Sie greift nicht in die inhaltliche Entscheidung ein, belastet die Antragsgegnerin minimal (bloßes Unterlassen einer Löschung) und stellt keine Vorwegnahme der Hauptsache dar.</w:t>
      </w:r>
    </w:p>
    <w:p>
      <w:pPr>
        <w:spacing w:after="50" w:before="150"/>
      </w:pPr>
      <w:r>
        <w:rPr>
          <w:rFonts w:ascii="Georgia" w:cs="Georgia" w:eastAsia="Georgia" w:hAnsi="Georgia"/>
          <w:b/>
          <w:bCs/>
          <w:color w:val="333333"/>
          <w:sz w:val="22"/>
          <w:szCs w:val="22"/>
        </w:rPr>
        <w:t xml:space="preserve">4. Der zentrale Widerspruch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Der Bescheid vom 12.05.2026 behauptet „keine amtlichen Informationen“. Zugleich weist die Aktenlage über dreißig als „privileged“ geführte Anhänge und einen namentlichen Bearbeiter (dirk.hennig@diplo.de) aus. Die Daten existieren also nachweislich — und sind sicherungswürdig.</w:t>
      </w:r>
    </w:p>
    <w:p>
      <w:pPr>
        <w:spacing w:after="50" w:before="150"/>
      </w:pPr>
      <w:r>
        <w:rPr>
          <w:rFonts w:ascii="Georgia" w:cs="Georgia" w:eastAsia="Georgia" w:hAnsi="Georgia"/>
          <w:b/>
          <w:bCs/>
          <w:color w:val="333333"/>
          <w:sz w:val="22"/>
          <w:szCs w:val="22"/>
        </w:rPr>
        <w:t xml:space="preserve">5. Anspruchsgrundlage (Anordnungsanspruch)</w:t>
      </w:r>
    </w:p>
    <w:p>
      <w:pPr>
        <w:spacing w:after="70" w:before="70"/>
        <w:jc w:val="both"/>
      </w:pPr>
      <w:r>
        <w:rPr>
          <w:rFonts w:ascii="Georgia" w:cs="Georgia" w:eastAsia="Georgia" w:hAnsi="Georgia"/>
          <w:sz w:val="22"/>
          <w:szCs w:val="22"/>
        </w:rPr>
        <w:t xml:space="preserve">§ 1 IFG (Informationszugang) i.V.m. Art. 19 Abs. 4 GG (effektiver Rechtsschutz) und der Pflicht der Behörde zur ordnungsgemäßen Aktenführung.</w:t>
      </w:r>
    </w:p>
    <w:p>
      <w:pPr>
        <w:spacing w:after="0" w:before="40"/>
      </w:pPr>
    </w:p>
    <w:p>
      <w:pPr>
        <w:pBdr>
          <w:left w:val="single" w:color="8B0000" w:sz="10" w:space="10"/>
        </w:pBdr>
        <w:spacing w:after="40" w:before="40"/>
        <w:ind w:left="300" w:right="30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Kurz: Ohne sofortige Sicherung droht der unwiederbringliche Verlust der einzigen Beweismittel, die sich im Inneren der Behörde befinden. Die beantragte Sicherung ist mild, eng begrenzt und eilbedürftig.</w:t>
      </w:r>
    </w:p>
    <w:p>
      <w:pPr>
        <w:spacing w:after="0" w:before="30"/>
      </w:pPr>
    </w:p>
    <w:p>
      <w:pPr>
        <w:spacing w:after="70" w:before="70"/>
        <w:jc w:val="both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Diese Kurzübersicht ist dem Eilantrag als Deckblatt vorangestellt. Begründung im Einzelnen siehe Antragsschrift.</w:t>
      </w:r>
    </w:p>
    <w:sectPr>
      <w:headerReference w:type="default" r:id="rId7"/>
      <w:footerReference w:type="default" r:id="rId8"/>
      <w:pgSz w:w="11906" w:h="16838" w:orient="portrait"/>
      <w:pgMar w:top="14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1" w:space="3"/>
      </w:pBdr>
      <w:jc w:val="center"/>
    </w:pPr>
    <w:r>
      <w:rPr>
        <w:rFonts w:ascii="Georgia" w:cs="Georgia" w:eastAsia="Georgia" w:hAnsi="Georgia"/>
        <w:i/>
        <w:iCs/>
        <w:color w:val="AAAAAA"/>
        <w:sz w:val="13"/>
        <w:szCs w:val="13"/>
      </w:rPr>
      <w:t xml:space="preserve">Deckblatt zum Antrag nach § 123 VwGO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1" w:space="3"/>
      </w:pBdr>
      <w:spacing w:after="50" w:before="0"/>
      <w:jc w:val="center"/>
    </w:pPr>
    <w:r>
      <w:rPr>
        <w:rFonts w:ascii="Georgia" w:cs="Georgia" w:eastAsia="Georgia" w:hAnsi="Georgia"/>
        <w:i/>
        <w:iCs/>
        <w:color w:val="AAAAAA"/>
        <w:sz w:val="13"/>
        <w:szCs w:val="13"/>
      </w:rPr>
      <w:t xml:space="preserve">Eilantrag-Kurzübersicht — 759bc4c4 — Dr. A. Kovnatsky — 25.06.2026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2026-06-20T17:51:43.433Z</dcterms:created>
  <dcterms:modified xsi:type="dcterms:W3CDTF">2026-06-20T17:51:43.446Z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