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Prozessuales Memorandum</w:t>
      </w:r>
    </w:p>
    <w:p>
      <w:pPr>
        <w:pStyle w:val="Heading2"/>
      </w:pPr>
      <w:r>
        <w:t>Begleitende Erläuterung zum Gesamtpaket</w:t>
      </w:r>
    </w:p>
    <w:p>
      <w:r>
        <w:t>Verwaltungsgericht Berlin</w:t>
        <w:br/>
        <w:t>Az.: VG 2 K 202/26</w:t>
      </w:r>
    </w:p>
    <w:p>
      <w:pPr>
        <w:pStyle w:val="Heading2"/>
      </w:pPr>
      <w:r>
        <w:t>I. Einordnung</w:t>
      </w:r>
    </w:p>
    <w:p>
      <w:r>
        <w:t>Dieses Memorandum dient als übergeordnete Orientierungshilfe für das Gericht. Die beigefügten Unterlagen strukturieren und konkretisieren den bereits gestellten Antrag auf Akteneinsicht und auf Vorlage der vollständigen Behördenakte. Der Streitgegenstand wird hierdurch nicht erweitert.</w:t>
      </w:r>
    </w:p>
    <w:p>
      <w:pPr>
        <w:pStyle w:val="Heading2"/>
      </w:pPr>
      <w:r>
        <w:t>II. Ziel</w:t>
      </w:r>
    </w:p>
    <w:p>
      <w:r>
        <w:t>Ziel ist eine nachvollziehbare und vollständige Vorlage der papiergebundenen und elektronischen Bestandteile der Behördenakte einschließlich der hierzu gehörenden Metadaten und – soweit vorhanden – technischer Begleitinformationen.</w:t>
      </w:r>
    </w:p>
    <w:p>
      <w:pPr>
        <w:pStyle w:val="Heading2"/>
      </w:pPr>
      <w:r>
        <w:t>III. Erwartete Struktur der Aktenvorlage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Gruppe</w:t>
            </w:r>
          </w:p>
        </w:tc>
        <w:tc>
          <w:tcPr>
            <w:tcW w:type="dxa" w:w="2160"/>
          </w:tcPr>
          <w:p>
            <w:r>
              <w:t>Beispiele</w:t>
            </w:r>
          </w:p>
        </w:tc>
        <w:tc>
          <w:tcPr>
            <w:tcW w:type="dxa" w:w="2160"/>
          </w:tcPr>
          <w:p>
            <w:r>
              <w:t>Chronologisch</w:t>
            </w:r>
          </w:p>
        </w:tc>
        <w:tc>
          <w:tcPr>
            <w:tcW w:type="dxa" w:w="2160"/>
          </w:tcPr>
          <w:p>
            <w:r>
              <w:t>Bemerkung</w:t>
            </w:r>
          </w:p>
        </w:tc>
      </w:tr>
      <w:tr>
        <w:tc>
          <w:tcPr>
            <w:tcW w:type="dxa" w:w="2160"/>
          </w:tcPr>
          <w:p>
            <w:r>
              <w:t>E‑Mail</w:t>
            </w:r>
          </w:p>
        </w:tc>
        <w:tc>
          <w:tcPr>
            <w:tcW w:type="dxa" w:w="2160"/>
          </w:tcPr>
          <w:p>
            <w:r>
              <w:t>eingehend, ausgehend, intern</w:t>
            </w:r>
          </w:p>
        </w:tc>
        <w:tc>
          <w:tcPr>
            <w:tcW w:type="dxa" w:w="2160"/>
          </w:tcPr>
          <w:p>
            <w:r>
              <w:t>Ja</w:t>
            </w:r>
          </w:p>
        </w:tc>
        <w:tc>
          <w:tcPr>
            <w:tcW w:type="dxa" w:w="2160"/>
          </w:tcPr>
          <w:p>
            <w:r>
              <w:t>inkl. Metadaten</w:t>
            </w:r>
          </w:p>
        </w:tc>
      </w:tr>
      <w:tr>
        <w:tc>
          <w:tcPr>
            <w:tcW w:type="dxa" w:w="2160"/>
          </w:tcPr>
          <w:p>
            <w:r>
              <w:t>Fax</w:t>
            </w:r>
          </w:p>
        </w:tc>
        <w:tc>
          <w:tcPr>
            <w:tcW w:type="dxa" w:w="2160"/>
          </w:tcPr>
          <w:p>
            <w:r>
              <w:t>Sende-/Empfangsberichte</w:t>
            </w:r>
          </w:p>
        </w:tc>
        <w:tc>
          <w:tcPr>
            <w:tcW w:type="dxa" w:w="2160"/>
          </w:tcPr>
          <w:p>
            <w:r>
              <w:t>Ja</w:t>
            </w:r>
          </w:p>
        </w:tc>
        <w:tc>
          <w:tcPr>
            <w:tcW w:type="dxa" w:w="2160"/>
          </w:tcPr>
          <w:p>
            <w:r>
              <w:t>inkl. Fax-IDs</w:t>
            </w:r>
          </w:p>
        </w:tc>
      </w:tr>
      <w:tr>
        <w:tc>
          <w:tcPr>
            <w:tcW w:type="dxa" w:w="2160"/>
          </w:tcPr>
          <w:p>
            <w:r>
              <w:t>Post</w:t>
            </w:r>
          </w:p>
        </w:tc>
        <w:tc>
          <w:tcPr>
            <w:tcW w:type="dxa" w:w="2160"/>
          </w:tcPr>
          <w:p>
            <w:r>
              <w:t>Briefe, Einschreiben</w:t>
            </w:r>
          </w:p>
        </w:tc>
        <w:tc>
          <w:tcPr>
            <w:tcW w:type="dxa" w:w="2160"/>
          </w:tcPr>
          <w:p>
            <w:r>
              <w:t>Ja</w:t>
            </w:r>
          </w:p>
        </w:tc>
        <w:tc>
          <w:tcPr>
            <w:tcW w:type="dxa" w:w="2160"/>
          </w:tcPr>
          <w:p>
            <w:r>
              <w:t>inkl. Zustellnachweise</w:t>
            </w:r>
          </w:p>
        </w:tc>
      </w:tr>
      <w:tr>
        <w:tc>
          <w:tcPr>
            <w:tcW w:type="dxa" w:w="2160"/>
          </w:tcPr>
          <w:p>
            <w:r>
              <w:t>Telefon</w:t>
            </w:r>
          </w:p>
        </w:tc>
        <w:tc>
          <w:tcPr>
            <w:tcW w:type="dxa" w:w="2160"/>
          </w:tcPr>
          <w:p>
            <w:r>
              <w:t>Vermerke, Gesprächsnotizen</w:t>
            </w:r>
          </w:p>
        </w:tc>
        <w:tc>
          <w:tcPr>
            <w:tcW w:type="dxa" w:w="2160"/>
          </w:tcPr>
          <w:p>
            <w:r>
              <w:t>Ja</w:t>
            </w:r>
          </w:p>
        </w:tc>
        <w:tc>
          <w:tcPr>
            <w:tcW w:type="dxa" w:w="2160"/>
          </w:tcPr>
          <w:p>
            <w:r>
              <w:t>soweit vorhanden</w:t>
            </w:r>
          </w:p>
        </w:tc>
      </w:tr>
      <w:tr>
        <w:tc>
          <w:tcPr>
            <w:tcW w:type="dxa" w:w="2160"/>
          </w:tcPr>
          <w:p>
            <w:r>
              <w:t>Audio</w:t>
            </w:r>
          </w:p>
        </w:tc>
        <w:tc>
          <w:tcPr>
            <w:tcW w:type="dxa" w:w="2160"/>
          </w:tcPr>
          <w:p>
            <w:r>
              <w:t>Dateien, Transkripte</w:t>
            </w:r>
          </w:p>
        </w:tc>
        <w:tc>
          <w:tcPr>
            <w:tcW w:type="dxa" w:w="2160"/>
          </w:tcPr>
          <w:p>
            <w:r>
              <w:t>Ja</w:t>
            </w:r>
          </w:p>
        </w:tc>
        <w:tc>
          <w:tcPr>
            <w:tcW w:type="dxa" w:w="2160"/>
          </w:tcPr>
          <w:p>
            <w:r>
              <w:t>soweit vorhanden</w:t>
            </w:r>
          </w:p>
        </w:tc>
      </w:tr>
      <w:tr>
        <w:tc>
          <w:tcPr>
            <w:tcW w:type="dxa" w:w="2160"/>
          </w:tcPr>
          <w:p>
            <w:r>
              <w:t>FACIL</w:t>
            </w:r>
          </w:p>
        </w:tc>
        <w:tc>
          <w:tcPr>
            <w:tcW w:type="dxa" w:w="2160"/>
          </w:tcPr>
          <w:p>
            <w:r>
              <w:t>Tickets, Statushistorie</w:t>
            </w:r>
          </w:p>
        </w:tc>
        <w:tc>
          <w:tcPr>
            <w:tcW w:type="dxa" w:w="2160"/>
          </w:tcPr>
          <w:p>
            <w:r>
              <w:t>Ja</w:t>
            </w:r>
          </w:p>
        </w:tc>
        <w:tc>
          <w:tcPr>
            <w:tcW w:type="dxa" w:w="2160"/>
          </w:tcPr>
          <w:p>
            <w:r>
              <w:t>Verknüpfungen</w:t>
            </w:r>
          </w:p>
        </w:tc>
      </w:tr>
      <w:tr>
        <w:tc>
          <w:tcPr>
            <w:tcW w:type="dxa" w:w="2160"/>
          </w:tcPr>
          <w:p>
            <w:r>
              <w:t>Interne Vermerke</w:t>
            </w:r>
          </w:p>
        </w:tc>
        <w:tc>
          <w:tcPr>
            <w:tcW w:type="dxa" w:w="2160"/>
          </w:tcPr>
          <w:p>
            <w:r>
              <w:t>Bearbeitungsvermerke</w:t>
            </w:r>
          </w:p>
        </w:tc>
        <w:tc>
          <w:tcPr>
            <w:tcW w:type="dxa" w:w="2160"/>
          </w:tcPr>
          <w:p>
            <w:r>
              <w:t>Ja</w:t>
            </w:r>
          </w:p>
        </w:tc>
        <w:tc>
          <w:tcPr>
            <w:tcW w:type="dxa" w:w="2160"/>
          </w:tcPr>
          <w:p>
            <w:r>
              <w:t>vollständig</w:t>
            </w:r>
          </w:p>
        </w:tc>
      </w:tr>
      <w:tr>
        <w:tc>
          <w:tcPr>
            <w:tcW w:type="dxa" w:w="2160"/>
          </w:tcPr>
          <w:p>
            <w:r>
              <w:t>DSGVO</w:t>
            </w:r>
          </w:p>
        </w:tc>
        <w:tc>
          <w:tcPr>
            <w:tcW w:type="dxa" w:w="2160"/>
          </w:tcPr>
          <w:p>
            <w:r>
              <w:t>Art.-15-Unterlagen</w:t>
            </w:r>
          </w:p>
        </w:tc>
        <w:tc>
          <w:tcPr>
            <w:tcW w:type="dxa" w:w="2160"/>
          </w:tcPr>
          <w:p>
            <w:r>
              <w:t>Ja</w:t>
            </w:r>
          </w:p>
        </w:tc>
        <w:tc>
          <w:tcPr>
            <w:tcW w:type="dxa" w:w="2160"/>
          </w:tcPr>
          <w:p>
            <w:r>
              <w:t>relevante Vorgänge</w:t>
            </w:r>
          </w:p>
        </w:tc>
      </w:tr>
      <w:tr>
        <w:tc>
          <w:tcPr>
            <w:tcW w:type="dxa" w:w="2160"/>
          </w:tcPr>
          <w:p>
            <w:r>
              <w:t>Systemprotokolle</w:t>
            </w:r>
          </w:p>
        </w:tc>
        <w:tc>
          <w:tcPr>
            <w:tcW w:type="dxa" w:w="2160"/>
          </w:tcPr>
          <w:p>
            <w:r>
              <w:t>Workflow, Audit, Zugriff</w:t>
            </w:r>
          </w:p>
        </w:tc>
        <w:tc>
          <w:tcPr>
            <w:tcW w:type="dxa" w:w="2160"/>
          </w:tcPr>
          <w:p>
            <w:r>
              <w:t>Ja</w:t>
            </w:r>
          </w:p>
        </w:tc>
        <w:tc>
          <w:tcPr>
            <w:tcW w:type="dxa" w:w="2160"/>
          </w:tcPr>
          <w:p>
            <w:r>
              <w:t>soweit vorhanden</w:t>
            </w:r>
          </w:p>
        </w:tc>
      </w:tr>
    </w:tbl>
    <w:p>
      <w:pPr>
        <w:pStyle w:val="Heading2"/>
      </w:pPr>
      <w:r>
        <w:t>IV. Falls Unterlagen oder Daten fehlen</w:t>
      </w:r>
    </w:p>
    <w:p>
      <w:r>
        <w:t>Kann ein Dokument oder Datensatz nicht vorgelegt werden, wird angeregt, dies nachvollziehbar zu erläutern. Die Erklärung sollte insbesondere enthalten:</w:t>
        <w:br/>
        <w:t>• ob der Datensatz ursprünglich vorhanden war;</w:t>
        <w:br/>
        <w:t>• Zeitpunkt und Grund der Nichtverfügbarkeit;</w:t>
        <w:br/>
        <w:t>• zugrunde liegende Rechts- oder Verwaltungsvorschrift;</w:t>
        <w:br/>
        <w:t>• verantwortliche Organisationseinheit bzw. Freigabe;</w:t>
        <w:br/>
        <w:t>• vorhandene Archive, Sicherungskopien oder Wiederherstellungsmöglichkeiten;</w:t>
        <w:br/>
        <w:t>• vorhandene Löschungs-, Archivierungs- oder Wiederherstellungsprotokolle.</w:t>
      </w:r>
    </w:p>
    <w:p>
      <w:pPr>
        <w:pStyle w:val="Heading2"/>
      </w:pPr>
      <w:r>
        <w:t>V. Übersicht des Pakets</w:t>
      </w:r>
    </w:p>
    <w:p>
      <w:r>
        <w:t>0000 Deckblatt und Anlagenverzeichnis</w:t>
        <w:br/>
        <w:t>000 Kurzfassung für das Gericht</w:t>
        <w:br/>
        <w:t>00 Einführende Erläuterung</w:t>
        <w:br/>
        <w:t>01 Ergänzung zum Antrag</w:t>
        <w:br/>
        <w:t>02 Ergänzende Erklärung</w:t>
        <w:br/>
        <w:t>Anlage A Checkliste</w:t>
        <w:br/>
        <w:t>Anlage B Identifikatoren und Suchhilfen</w:t>
        <w:br/>
        <w:t>Anlage C Kommunikationsübersicht</w:t>
        <w:br/>
        <w:t>Anlage D Technische Anforderungen</w:t>
        <w:br/>
        <w:t>Anlage E Chronologie</w:t>
        <w:br/>
        <w:t>Anlage F Weitere verfahrensrelevante Anlagen</w:t>
      </w:r>
    </w:p>
    <w:p>
      <w:pPr>
        <w:pStyle w:val="Heading2"/>
      </w:pPr>
      <w:r>
        <w:t>VI. Schlussbemerkung</w:t>
      </w:r>
    </w:p>
    <w:p>
      <w:r>
        <w:t>Die Strukturierung soll die gerichtliche Prüfung erleichtern und eine geordnete Bearbeitung der Akten ermöglichen. Sie ist als organisatorische Hilfe gedacht und nicht als Erweiterung des Streitgegenstands.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