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Anlage F — Ein-Seiten-Synopse für das Gericht</w:t>
      </w:r>
    </w:p>
    <w:p>
      <w:r>
        <w:rPr>
          <w:i/>
        </w:rPr>
        <w:t>Az.: VG 2 K 202/26  |  Stand: 18.07.2026</w:t>
      </w:r>
    </w:p>
    <w:p/>
    <w:p>
      <w:r>
        <w:rPr>
          <w:b/>
        </w:rPr>
        <w:t xml:space="preserve">Kerninhalt in einem Satz: </w:t>
      </w:r>
      <w:r>
        <w:t>Der Kläger beantragte am 19.04.2026 vollständige Auskunft/Aktenvorlage; der Beklagte hat bislang nur teilweise geantwortet und wiederholt 'keine Information vorhanden' erklärt, ohne dies zu belegen — dieser Schriftsatz konkretisiert (nicht erweitert) das Begehren und knüpft die Kostenfolge an vollständige Erfüllung.</w:t>
      </w:r>
    </w:p>
    <w:p/>
    <w:p>
      <w:pPr>
        <w:pStyle w:val="Heading2"/>
      </w:pPr>
      <w:r>
        <w:rPr>
          <w:color w:val="000000"/>
        </w:rPr>
        <w:t>1. Worum es geht</w:t>
      </w:r>
    </w:p>
    <w:p>
      <w:pPr>
        <w:pStyle w:val="ListBullet"/>
      </w:pPr>
      <w:r>
        <w:t>Kein neuer Streitgegenstand – nur Präzisierung des bereits gestellten Antrags auf Akteneinsicht/Aktenvorlage.</w:t>
      </w:r>
    </w:p>
    <w:p>
      <w:pPr>
        <w:pStyle w:val="ListBullet"/>
      </w:pPr>
      <w:r>
        <w:t>Ursprünglicher Antrag des Klägers beim Beklagten: 19.04.2026.</w:t>
      </w:r>
    </w:p>
    <w:p>
      <w:pPr>
        <w:pStyle w:val="ListBullet"/>
      </w:pPr>
      <w:r>
        <w:t>Bisherige Reaktion des Beklagten: unvollständig, teils 'keine Information vorhanden' (siehe Anlage E, Chronologie).</w:t>
      </w:r>
    </w:p>
    <w:p>
      <w:pPr>
        <w:pStyle w:val="Heading2"/>
      </w:pPr>
      <w:r>
        <w:rPr>
          <w:color w:val="000000"/>
        </w:rPr>
        <w:t>2. Was konkret verlangt wird (Anlagen A–D)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Erwartet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Anlage</w:t>
            </w:r>
          </w:p>
        </w:tc>
      </w:tr>
      <w:tr>
        <w:tc>
          <w:tcPr>
            <w:tcW w:type="dxa" w:w="2880"/>
          </w:tcPr>
          <w:p>
            <w:r>
              <w:t>Papierakte / Bescheide</w:t>
            </w:r>
          </w:p>
        </w:tc>
        <w:tc>
          <w:tcPr>
            <w:tcW w:type="dxa" w:w="2880"/>
          </w:tcPr>
          <w:p>
            <w:r>
              <w:t>vollständig, chronologisch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E-Mail / Fax / Post / Telefon</w:t>
            </w:r>
          </w:p>
        </w:tc>
        <w:tc>
          <w:tcPr>
            <w:tcW w:type="dxa" w:w="2880"/>
          </w:tcPr>
          <w:p>
            <w:r>
              <w:t>inkl. Metadaten &amp; Nachweise</w:t>
            </w:r>
          </w:p>
        </w:tc>
        <w:tc>
          <w:tcPr>
            <w:tcW w:type="dxa" w:w="2880"/>
          </w:tcPr>
          <w:p>
            <w:r>
              <w:t>A/C</w:t>
            </w:r>
          </w:p>
        </w:tc>
      </w:tr>
      <w:tr>
        <w:tc>
          <w:tcPr>
            <w:tcW w:type="dxa" w:w="2880"/>
          </w:tcPr>
          <w:p>
            <w:r>
              <w:t>FACIL-Tickets / Workflow</w:t>
            </w:r>
          </w:p>
        </w:tc>
        <w:tc>
          <w:tcPr>
            <w:tcW w:type="dxa" w:w="2880"/>
          </w:tcPr>
          <w:p>
            <w:r>
              <w:t>Statushistorie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Audit- / Zugriffsprotokolle</w:t>
            </w:r>
          </w:p>
        </w:tc>
        <w:tc>
          <w:tcPr>
            <w:tcW w:type="dxa" w:w="2880"/>
          </w:tcPr>
          <w:p>
            <w:r>
              <w:t>vollständig oder Fehlbegründung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Löschinformationen</w:t>
            </w:r>
          </w:p>
        </w:tc>
        <w:tc>
          <w:tcPr>
            <w:tcW w:type="dxa" w:w="2880"/>
          </w:tcPr>
          <w:p>
            <w:r>
              <w:t>Protokoll oder Fehlbegründung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DSGVO-Auskunftsunterlagen</w:t>
            </w:r>
          </w:p>
        </w:tc>
        <w:tc>
          <w:tcPr>
            <w:tcW w:type="dxa" w:w="2880"/>
          </w:tcPr>
          <w:p>
            <w:r>
              <w:t>vollständig (Art. 15 DSGVO)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Metadaten / IDs</w:t>
            </w:r>
          </w:p>
        </w:tc>
        <w:tc>
          <w:tcPr>
            <w:tcW w:type="dxa" w:w="2880"/>
          </w:tcPr>
          <w:p>
            <w:r>
              <w:t>technischer Kontext</w:t>
            </w:r>
          </w:p>
        </w:tc>
        <w:tc>
          <w:tcPr>
            <w:tcW w:type="dxa" w:w="2880"/>
          </w:tcPr>
          <w:p>
            <w:r>
              <w:t>B/D</w:t>
            </w:r>
          </w:p>
        </w:tc>
      </w:tr>
    </w:tbl>
    <w:p/>
    <w:p>
      <w:pPr>
        <w:pStyle w:val="Heading2"/>
      </w:pPr>
      <w:r>
        <w:rPr>
          <w:color w:val="000000"/>
        </w:rPr>
        <w:t>3. Prüf-Marker für das Gericht</w:t>
      </w:r>
    </w:p>
    <w:p>
      <w:r>
        <w:rPr>
          <w:b/>
          <w:color w:val="008000"/>
        </w:rPr>
        <w:t xml:space="preserve">✅ Fall 'ALLES OK': </w:t>
      </w:r>
      <w:r>
        <w:t>Beklagter legt alle Kategorien aus Tabelle 2 vollständig vor UND begründet jede fehlende Position gemäß den 6 Pflichtangaben in Abschnitt V (Existenz, Zeitpunkt/Art des Verlusts, Verantwortlichkeit, Rechtsgrundlage, Sicherungskopien, Protokollierung). → Erledigungserklärung durch Kläger, Kostenantrag nach § 161 Abs. 2 VwGO gegen Beklagten bleibt bestehen.</w:t>
      </w:r>
    </w:p>
    <w:p>
      <w:r>
        <w:rPr>
          <w:b/>
          <w:color w:val="C80000"/>
        </w:rPr>
        <w:t xml:space="preserve">⚠️ Fall 'NICHT OK': </w:t>
      </w:r>
      <w:r>
        <w:t>Beklagter behauptet pauschal 'nicht vorhanden'/'nicht auffindbar' ohne die 6 Pflichtangaben, oder legt einzelne Kategorien (insb. FACIL/Audit/Löschprotokolle gemäß Anlage D) gar nicht vor. → Antrag auf Fristsetzung zur Nachbesserung; Verfahren bleibt streitig.</w:t>
      </w:r>
    </w:p>
    <w:p>
      <w:pPr>
        <w:pStyle w:val="Heading2"/>
      </w:pPr>
      <w:r>
        <w:rPr>
          <w:color w:val="000000"/>
        </w:rPr>
        <w:t>4. Kostenfolge (Kernargument)</w:t>
      </w:r>
    </w:p>
    <w:p>
      <w:r>
        <w:t>Da der Antrag bereits am 19.04.2026 gestellt wurde, wäre die Klage bei vollständiger Erstauskunft nicht notwendig gewesen. Bei vollständiger Erledigung im Verfahren beantragt der Kläger die Kostenauferlegung auf den Beklagten gemäß § 161 Abs. 2 VwGO (Veranlasserprinzip).</w:t>
      </w:r>
    </w:p>
    <w:p>
      <w:pPr>
        <w:pStyle w:val="Heading2"/>
      </w:pPr>
      <w:r>
        <w:rPr>
          <w:color w:val="000000"/>
        </w:rPr>
        <w:t>5. Catch-all-Vorbehalt</w:t>
      </w:r>
    </w:p>
    <w:p>
      <w:r>
        <w:t>Der Antrag umfasst auch alle weiteren, hier nicht ausdrücklich benannten Unterlagen/Datensätze, die zum Verwaltungsvorgang gehören und für die Nachvollziehbarkeit relevant sein können — ohne den Streitgegenstand zu erweitern.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