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Verfassungsrechtliche Rüge – Einschub für die Klage zum VG Berlin</w:t>
      </w:r>
    </w:p>
    <w:p>
      <w:pPr>
        <w:pBdr>
          <w:bottom w:val="single" w:color="1F3864" w:sz="8" w:space="1"/>
        </w:pBdr>
        <w:spacing w:after="15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t xml:space="preserve">Zum Einfügen in die Klagebegründung der Verpflichtungsklage (VG Berlin; Vorgang 759bc4c4-387d-49e7-9e16-9a2b56c9da0e). Zweck: die verfassungsrechtliche Dimension bereits im fachgerichtlichen Verfahren zu rügen. Das erhöht den Druck jetzt und wahrt die Verfassungsbeschwerde als Schlussstein – die Subsidiarität (§ 90 Abs. 2 BVerfGG) verlangt, dass die Grundrechtsrüge zuerst im Rechtsweg vorgebracht wird.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VII. Verfassungsrechtliche Rüge</w:t>
      </w:r>
    </w:p>
    <w:p>
      <w:pPr>
        <w:spacing w:after="130" w:line="264"/>
      </w:pPr>
      <w:r>
        <w:t xml:space="preserve">Die angegriffene Verwaltungspraxis ist auch im Lichte des Verfassungsrechts auszulegen. Das Petitionsgrundrecht (Art. 17 GG) gewährleistet die Entgegennahme, die inhaltliche Kenntnisnahme und die sachliche Bescheidung von Eingaben; eine systemseitige Schließung „ungelesen“ – so das ausdrückliche Eingeständnis der Beklagten – nimmt den Inhalt gerade nicht zur Kenntnis.</w:t>
      </w:r>
    </w:p>
    <w:p>
      <w:pPr>
        <w:spacing w:after="130" w:line="264"/>
      </w:pPr>
      <w:r>
        <w:t xml:space="preserve">Nach Art. 1 Abs. 3 GG ist alle staatliche Gewalt an die Grundrechte gebunden; diese Bindung entfaltet Wirkung bereits an der Eingangsschwelle der Verwaltung. Je gewichtiger der grundrechtliche Bezug einer Eingabe – hier: Hinweise auf mögliche schwerwiegende Menschenrechtsverletzungen –, desto höher sind die Anforderungen an eine sachgerechte, dokumentierte Bearbeitung und desto strenger der Maßstab für die Auslegung etwaiger Ausnahmetatbestände (§§ 3 bis 6 IFG).</w:t>
      </w:r>
    </w:p>
    <w:p>
      <w:pPr>
        <w:spacing w:after="130" w:line="264"/>
      </w:pPr>
      <w:r>
        <w:t xml:space="preserve">Ein pauschaler Verweis auf das Fehlen von Vermerken genügt diesen Anforderungen nicht; er ist die Folge einer Verwaltungsarchitektur, deren Verfassungsmäßigkeit gerade in Frage steht. Das Gericht wird gebeten, dies bei der Auslegung des § 1 Abs. 1 i.V.m. § 2 Nr. 1 IFG und bei der Prüfung der Ablehnungsbegründung (§ 39 Abs. 1 VwVfG) zu berücksichtigen.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tabs>
        <w:tab w:val="right" w:pos="9026"/>
      </w:tabs>
    </w:pPr>
    <w:r>
      <w:rPr>
        <w:color w:val="888888"/>
        <w:sz w:val="16"/>
        <w:szCs w:val="16"/>
      </w:rPr>
      <w:t xml:space="preserve">Verfassungsrechtliche Rüge – VG Berlin</w:t>
    </w:r>
    <w:r>
      <w:rPr>
        <w:sz w:val="16"/>
        <w:szCs w:val="16"/>
      </w:rPr>
      <w:t xml:space="preserve">	</w:t>
    </w:r>
    <w:r>
      <w:rPr>
        <w:color w:val="888888"/>
        <w:sz w:val="16"/>
        <w:szCs w:val="16"/>
      </w:rPr>
      <w:t xml:space="preserve">Seite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2026-07-06T19:42:49.283Z</dcterms:created>
  <dcterms:modified xsi:type="dcterms:W3CDTF">2026-07-06T19:42:49.283Z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