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III. Rechtlicher Rahmen</w:t>
      </w:r>
    </w:p>
    <w:p>
      <w:r>
        <w:t>Der vorliegende Schriftsatz dient der näheren Erläuterung des bereits gestellten Antrags auf Akteneinsicht und auf Vorlage der Behördenakte. Er verfolgt das Ziel, die beantragte Aktenvorlage aus verfahrensrechtlicher Sicht einzuordnen und die gerichtliche Prüfung zu unterstützen.</w:t>
      </w:r>
    </w:p>
    <w:p>
      <w:r>
        <w:t>Im verwaltungsgerichtlichen Verfahren bildet die Behördenakte regelmäßig eine wesentliche Grundlage für die gerichtliche Sachverhaltsaufklärung. Die Vorlage der Akten soll es dem Gericht ermöglichen, den entscheidungserheblichen Verwaltungsvorgang vollständig und nachvollziehbar zu würdigen.</w:t>
      </w:r>
    </w:p>
    <w:p>
      <w:r>
        <w:t>Die Ausführungen in diesem Schriftsatz beziehen sich ausschließlich auf Unterlagen und Informationen, die Bestandteil der Behördenakte oder der zugrunde liegenden Verwaltungsvorgänge sind oder nach den einschlägigen Vorschriften vorgelegt werden können. Es wird nicht beantragt, neue Unterlagen zu schaffen oder nicht vorhandene Dokumente zu rekonstruieren.</w:t>
      </w:r>
    </w:p>
    <w:p>
      <w:r>
        <w:t>Erfasst sein können – soweit vorhanden und dem Verwaltungsvorgang zugehörig – neben papiergebundenen Unterlagen auch elektronische Bestandteile, insbesondere elektronische Dokumente, Metadaten und technische Begleitinformationen, sofern diese für das Verständnis oder die Nachvollziehbarkeit des Verwaltungsvorgangs von Bedeutung sind.</w:t>
      </w:r>
    </w:p>
    <w:p>
      <w:pPr>
        <w:pStyle w:val="Heading2"/>
      </w:pPr>
      <w:r>
        <w:t>Grundsätze</w:t>
      </w:r>
    </w:p>
    <w:p>
      <w:pPr>
        <w:pStyle w:val="ListBullet"/>
      </w:pPr>
      <w:r>
        <w:t>Vollständigkeit der dem Gericht vorzulegenden Behördenakte.</w:t>
      </w:r>
    </w:p>
    <w:p>
      <w:pPr>
        <w:pStyle w:val="ListBullet"/>
      </w:pPr>
      <w:r>
        <w:t>Nachvollziehbare Ordnung der Unterlagen.</w:t>
      </w:r>
    </w:p>
    <w:p>
      <w:pPr>
        <w:pStyle w:val="ListBullet"/>
      </w:pPr>
      <w:r>
        <w:t>Trennung nach Dokumentengruppen und chronologische Reihenfolge als organisatorische Hilfe.</w:t>
      </w:r>
    </w:p>
    <w:p>
      <w:pPr>
        <w:pStyle w:val="ListBullet"/>
      </w:pPr>
      <w:r>
        <w:t>Transparente Erläuterung, soweit einzelne Unterlagen nicht vorgelegt werden können.</w:t>
      </w:r>
    </w:p>
    <w:p>
      <w:pPr>
        <w:pStyle w:val="ListBullet"/>
      </w:pPr>
      <w:r>
        <w:t>Beachtung der gesetzlichen Grenzen der Aktenvorlage und des Datenschutzes.</w:t>
      </w:r>
    </w:p>
    <w:p>
      <w:pPr>
        <w:pStyle w:val="Heading2"/>
      </w:pPr>
      <w:r>
        <w:t>Einordnung der Anlagen</w:t>
      </w:r>
    </w:p>
    <w:p>
      <w:r>
        <w:t>Die beigefügten Anlagen dienen ausschließlich der besseren Strukturierung und Orientierung. Sie sollen die Auffindbarkeit einzelner Dokumentengruppen erleichtern und dem Gericht eine übersichtliche Prüfung der Vollständigkeit der Akten ermöglichen. Sie begründen keine eigenständigen prozessualen Anträge.</w:t>
      </w:r>
    </w:p>
    <w:p>
      <w:pPr>
        <w:pStyle w:val="Heading2"/>
      </w:pPr>
      <w:r>
        <w:t>Überleitung</w:t>
      </w:r>
    </w:p>
    <w:p>
      <w:r>
        <w:t>Im folgenden Kapitel werden die aus Sicht des Klägers erwarteten Bestandteile einer vollständigen Behördenakte systematisch nach Dokumentengruppen dargestellt.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