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980C7" w14:textId="77777777" w:rsidR="00EE28F9" w:rsidRPr="00CC5D37" w:rsidRDefault="002E41F1">
      <w:pPr>
        <w:spacing w:after="240"/>
        <w:rPr>
          <w:lang w:val="de-DE"/>
        </w:rPr>
      </w:pPr>
      <w:r w:rsidRPr="00CC5D37">
        <w:rPr>
          <w:b/>
          <w:lang w:val="de-DE"/>
        </w:rPr>
        <w:t xml:space="preserve">Rahmenhinweis (nicht Teil des einzureichenden Textes): </w:t>
      </w:r>
      <w:r w:rsidRPr="00CC5D37">
        <w:rPr>
          <w:i/>
          <w:lang w:val="de-DE"/>
        </w:rPr>
        <w:t xml:space="preserve">Klageart: Verpflichtungsklage, § 42 Abs. 1 Alt. 2 </w:t>
      </w:r>
      <w:proofErr w:type="spellStart"/>
      <w:r w:rsidRPr="00CC5D37">
        <w:rPr>
          <w:i/>
          <w:lang w:val="de-DE"/>
        </w:rPr>
        <w:t>i.V.m</w:t>
      </w:r>
      <w:proofErr w:type="spellEnd"/>
      <w:r w:rsidRPr="00CC5D37">
        <w:rPr>
          <w:i/>
          <w:lang w:val="de-DE"/>
        </w:rPr>
        <w:t xml:space="preserve">. § 113 Abs. 5 VwGO. Frist: § 74 Abs. 1 VwGO — ein Monat ab Zustellung des Widerspruchsbescheids; Zustellung ausweislich </w:t>
      </w:r>
      <w:r w:rsidRPr="00CC5D37">
        <w:rPr>
          <w:i/>
          <w:lang w:val="de-DE"/>
        </w:rPr>
        <w:t xml:space="preserve">Postzustellungsurkunde am 2. Juli 2026, Fristende daher voraussichtlich 4. August 2026 (2. August 2026 = Sonntag, § 57 VwGO </w:t>
      </w:r>
      <w:proofErr w:type="spellStart"/>
      <w:r w:rsidRPr="00CC5D37">
        <w:rPr>
          <w:i/>
          <w:lang w:val="de-DE"/>
        </w:rPr>
        <w:t>i.V.m</w:t>
      </w:r>
      <w:proofErr w:type="spellEnd"/>
      <w:r w:rsidRPr="00CC5D37">
        <w:rPr>
          <w:i/>
          <w:lang w:val="de-DE"/>
        </w:rPr>
        <w:t>. § 222 ZPO, § 188 BGB). Das genaue Zustellungsdatum ist der Urkunde zu entnehmen — bitte vor Einreichung prüfen. Streitwert: A</w:t>
      </w:r>
      <w:r w:rsidRPr="00CC5D37">
        <w:rPr>
          <w:i/>
          <w:lang w:val="de-DE"/>
        </w:rPr>
        <w:t>uffangwert 5.000 €.</w:t>
      </w:r>
    </w:p>
    <w:p w14:paraId="320E2A1C" w14:textId="77777777" w:rsidR="00EE28F9" w:rsidRPr="00CC5D37" w:rsidRDefault="002E41F1">
      <w:pPr>
        <w:spacing w:after="0"/>
        <w:rPr>
          <w:lang w:val="de-DE"/>
        </w:rPr>
      </w:pPr>
      <w:r w:rsidRPr="00CC5D37">
        <w:rPr>
          <w:lang w:val="de-DE"/>
        </w:rPr>
        <w:t>An das Verwaltungsgericht Berlin</w:t>
      </w:r>
    </w:p>
    <w:p w14:paraId="64724983" w14:textId="77777777" w:rsidR="00EE28F9" w:rsidRPr="00CC5D37" w:rsidRDefault="002E41F1">
      <w:pPr>
        <w:spacing w:after="360"/>
        <w:rPr>
          <w:lang w:val="de-DE"/>
        </w:rPr>
      </w:pPr>
      <w:r w:rsidRPr="00CC5D37">
        <w:rPr>
          <w:lang w:val="de-DE"/>
        </w:rPr>
        <w:t>Kirchstraße 7, 10557 Berlin</w:t>
      </w:r>
    </w:p>
    <w:p w14:paraId="0F7B2286" w14:textId="77777777" w:rsidR="00EE28F9" w:rsidRPr="00CC5D37" w:rsidRDefault="002E41F1">
      <w:pPr>
        <w:spacing w:after="160"/>
        <w:rPr>
          <w:lang w:val="de-DE"/>
        </w:rPr>
      </w:pPr>
      <w:r w:rsidRPr="00CC5D37">
        <w:rPr>
          <w:b/>
          <w:sz w:val="28"/>
          <w:lang w:val="de-DE"/>
        </w:rPr>
        <w:t>Klage</w:t>
      </w:r>
    </w:p>
    <w:p w14:paraId="01E832CB" w14:textId="437B879B" w:rsidR="00EE28F9" w:rsidRPr="00CC5D37" w:rsidRDefault="002E41F1">
      <w:pPr>
        <w:rPr>
          <w:lang w:val="de-DE"/>
        </w:rPr>
      </w:pPr>
      <w:r w:rsidRPr="00CC5D37">
        <w:rPr>
          <w:lang w:val="de-DE"/>
        </w:rPr>
        <w:t xml:space="preserve">des Herrn Dr. Artiom </w:t>
      </w:r>
      <w:r>
        <w:rPr>
          <w:lang w:val="de-DE"/>
        </w:rPr>
        <w:t xml:space="preserve">A. </w:t>
      </w:r>
      <w:r w:rsidRPr="00CC5D37">
        <w:rPr>
          <w:lang w:val="de-DE"/>
        </w:rPr>
        <w:t>Kovnatsky, Dahlmannstr. 17, 10629 Berlin — Kläger —</w:t>
      </w:r>
    </w:p>
    <w:p w14:paraId="43F14D7E" w14:textId="77777777" w:rsidR="00EE28F9" w:rsidRPr="00CC5D37" w:rsidRDefault="002E41F1">
      <w:pPr>
        <w:rPr>
          <w:lang w:val="de-DE"/>
        </w:rPr>
      </w:pPr>
      <w:r w:rsidRPr="00CC5D37">
        <w:rPr>
          <w:lang w:val="de-DE"/>
        </w:rPr>
        <w:t>gegen</w:t>
      </w:r>
    </w:p>
    <w:p w14:paraId="1B36BA03" w14:textId="77777777" w:rsidR="00EE28F9" w:rsidRPr="00CC5D37" w:rsidRDefault="002E41F1">
      <w:pPr>
        <w:rPr>
          <w:lang w:val="de-DE"/>
        </w:rPr>
      </w:pPr>
      <w:r w:rsidRPr="00CC5D37">
        <w:rPr>
          <w:lang w:val="de-DE"/>
        </w:rPr>
        <w:t>die Bundesrepublik Deutschland, vertreten durch das Auswärtige Amt, Werderscher Markt 1, 1</w:t>
      </w:r>
      <w:r w:rsidRPr="00CC5D37">
        <w:rPr>
          <w:lang w:val="de-DE"/>
        </w:rPr>
        <w:t>0117 Berlin — Beklagte —</w:t>
      </w:r>
    </w:p>
    <w:p w14:paraId="1D8ACA67" w14:textId="77777777" w:rsidR="00EE28F9" w:rsidRPr="00CC5D37" w:rsidRDefault="002E41F1">
      <w:pPr>
        <w:spacing w:after="320"/>
        <w:rPr>
          <w:lang w:val="de-DE"/>
        </w:rPr>
      </w:pPr>
      <w:r w:rsidRPr="00CC5D37">
        <w:rPr>
          <w:lang w:val="de-DE"/>
        </w:rPr>
        <w:t xml:space="preserve">wegen Informationszugang nach dem IFG (Vorgang 759bc4c4-387d-49e7-9e16-9a2b56c9da0e; </w:t>
      </w:r>
      <w:proofErr w:type="spellStart"/>
      <w:r w:rsidRPr="00CC5D37">
        <w:rPr>
          <w:lang w:val="de-DE"/>
        </w:rPr>
        <w:t>Gz</w:t>
      </w:r>
      <w:proofErr w:type="spellEnd"/>
      <w:r w:rsidRPr="00CC5D37">
        <w:rPr>
          <w:lang w:val="de-DE"/>
        </w:rPr>
        <w:t>. der Behörde R20-511.03 IFG 123-2026).</w:t>
      </w:r>
    </w:p>
    <w:p w14:paraId="70838591" w14:textId="77777777" w:rsidR="00EE28F9" w:rsidRPr="00CC5D37" w:rsidRDefault="002E41F1">
      <w:pPr>
        <w:spacing w:after="240"/>
        <w:rPr>
          <w:lang w:val="de-DE"/>
        </w:rPr>
      </w:pPr>
      <w:r w:rsidRPr="00CC5D37">
        <w:rPr>
          <w:lang w:val="de-DE"/>
        </w:rPr>
        <w:t>Namens des Klägers — hier: in eigener Sache — erhebe ich Klage und beantrage:</w:t>
      </w:r>
    </w:p>
    <w:p w14:paraId="00A7F5B4" w14:textId="77777777" w:rsidR="00EE28F9" w:rsidRDefault="002E41F1">
      <w:pPr>
        <w:spacing w:after="160"/>
      </w:pPr>
      <w:r>
        <w:rPr>
          <w:b/>
          <w:sz w:val="24"/>
        </w:rPr>
        <w:t>A. Klageanträge</w:t>
      </w:r>
    </w:p>
    <w:p w14:paraId="4689AEC4" w14:textId="77777777" w:rsidR="00EE28F9" w:rsidRPr="00CC5D37" w:rsidRDefault="002E41F1">
      <w:pPr>
        <w:pStyle w:val="ListNumber"/>
        <w:rPr>
          <w:lang w:val="de-DE"/>
        </w:rPr>
      </w:pPr>
      <w:r w:rsidRPr="00CC5D37">
        <w:rPr>
          <w:lang w:val="de-DE"/>
        </w:rPr>
        <w:t>Der Besche</w:t>
      </w:r>
      <w:r w:rsidRPr="00CC5D37">
        <w:rPr>
          <w:lang w:val="de-DE"/>
        </w:rPr>
        <w:t>id des Auswärtigen Amts vom 12. Mai 2026 (</w:t>
      </w:r>
      <w:proofErr w:type="spellStart"/>
      <w:r w:rsidRPr="00CC5D37">
        <w:rPr>
          <w:lang w:val="de-DE"/>
        </w:rPr>
        <w:t>Gz</w:t>
      </w:r>
      <w:proofErr w:type="spellEnd"/>
      <w:r w:rsidRPr="00CC5D37">
        <w:rPr>
          <w:lang w:val="de-DE"/>
        </w:rPr>
        <w:t>. 505-511.03 IFG 123-2026) in Gestalt des Widerspruchsbescheids vom 2. Juli 2026 (</w:t>
      </w:r>
      <w:proofErr w:type="spellStart"/>
      <w:r w:rsidRPr="00CC5D37">
        <w:rPr>
          <w:lang w:val="de-DE"/>
        </w:rPr>
        <w:t>Gz</w:t>
      </w:r>
      <w:proofErr w:type="spellEnd"/>
      <w:r w:rsidRPr="00CC5D37">
        <w:rPr>
          <w:lang w:val="de-DE"/>
        </w:rPr>
        <w:t>. R20-511.03 IFG 123-2026) wird aufgehoben, soweit der Zugang zu den unter Ziffer 2 bezeichneten Informationen abgelehnt wurde.</w:t>
      </w:r>
    </w:p>
    <w:p w14:paraId="2B026DC5" w14:textId="77777777" w:rsidR="00EE28F9" w:rsidRPr="00CC5D37" w:rsidRDefault="002E41F1">
      <w:pPr>
        <w:pStyle w:val="ListNumber"/>
        <w:spacing w:after="160"/>
        <w:rPr>
          <w:lang w:val="de-DE"/>
        </w:rPr>
      </w:pPr>
      <w:r w:rsidRPr="00CC5D37">
        <w:rPr>
          <w:lang w:val="de-DE"/>
        </w:rPr>
        <w:t>Die Beklagte wird verpflichtet, dem Kläger nach § 1 Abs. 1 IFG Zugang zu den folgenden, im Anfragemanagementsystem FACIL vorhandenen amtlichen Informationen (§ 2 Nr. 1 IFG) zum Vorgang 759bc4c4-387d-49e7-9e16-9a2b56c9da0e zu gewähren:</w:t>
      </w:r>
    </w:p>
    <w:p w14:paraId="1739F855" w14:textId="77777777" w:rsidR="00EE28F9" w:rsidRPr="00CC5D37" w:rsidRDefault="002E41F1">
      <w:pPr>
        <w:spacing w:after="160"/>
        <w:ind w:left="480"/>
        <w:rPr>
          <w:lang w:val="de-DE"/>
        </w:rPr>
      </w:pPr>
      <w:r w:rsidRPr="00CC5D37">
        <w:rPr>
          <w:lang w:val="de-DE"/>
        </w:rPr>
        <w:t>a) die maschinell erz</w:t>
      </w:r>
      <w:r w:rsidRPr="00CC5D37">
        <w:rPr>
          <w:lang w:val="de-DE"/>
        </w:rPr>
        <w:t>eugten Protokoll-/Log-Einträge zu Erstellung, Statusänderungen, Weiterleitung(en) und Schließung des Vorgangs, jeweils mit Datums- und Zeitstempel (UTC oder unter Angabe der Zeitzone);</w:t>
      </w:r>
    </w:p>
    <w:p w14:paraId="25F89F96" w14:textId="77777777" w:rsidR="00EE28F9" w:rsidRPr="00CC5D37" w:rsidRDefault="002E41F1">
      <w:pPr>
        <w:spacing w:after="160"/>
        <w:ind w:left="480"/>
        <w:rPr>
          <w:lang w:val="de-DE"/>
        </w:rPr>
      </w:pPr>
      <w:r w:rsidRPr="00CC5D37">
        <w:rPr>
          <w:lang w:val="de-DE"/>
        </w:rPr>
        <w:t>b) die im System hinterlegten Bearbeitungs- und Routing-Metadaten, name</w:t>
      </w:r>
      <w:r w:rsidRPr="00CC5D37">
        <w:rPr>
          <w:lang w:val="de-DE"/>
        </w:rPr>
        <w:t>ntlich die Bearbeiter- bzw. Postfach-Kennungen der befassten Organisationseinheiten (Bürgerservice/040; Referat 114; Länderreferat 206) sowie die Weiterleitungskennungen der internen Zuleitungen;</w:t>
      </w:r>
    </w:p>
    <w:p w14:paraId="4E0EF4A4" w14:textId="77777777" w:rsidR="00EE28F9" w:rsidRPr="00CC5D37" w:rsidRDefault="002E41F1">
      <w:pPr>
        <w:spacing w:after="160"/>
        <w:ind w:left="480"/>
        <w:rPr>
          <w:lang w:val="de-DE"/>
        </w:rPr>
      </w:pPr>
      <w:r w:rsidRPr="00CC5D37">
        <w:rPr>
          <w:lang w:val="de-DE"/>
        </w:rPr>
        <w:t>c) die Verfahrens-/Statusprotokolle zur automatisierten Bear</w:t>
      </w:r>
      <w:r w:rsidRPr="00CC5D37">
        <w:rPr>
          <w:lang w:val="de-DE"/>
        </w:rPr>
        <w:t xml:space="preserve">beitung des Vorgangs, einschließlich der protokollierten Auslösung, Anwendung oder Nichtanwendung </w:t>
      </w:r>
      <w:r w:rsidRPr="00CC5D37">
        <w:rPr>
          <w:lang w:val="de-DE"/>
        </w:rPr>
        <w:lastRenderedPageBreak/>
        <w:t>automatisierter Standard-/Textbausteine (einschließlich Auto-Antwort und automatischer Schließung);</w:t>
      </w:r>
    </w:p>
    <w:p w14:paraId="2ECC056E" w14:textId="77777777" w:rsidR="00EE28F9" w:rsidRPr="00CC5D37" w:rsidRDefault="002E41F1">
      <w:pPr>
        <w:spacing w:after="160"/>
        <w:ind w:left="480"/>
        <w:rPr>
          <w:lang w:val="de-DE"/>
        </w:rPr>
      </w:pPr>
      <w:r w:rsidRPr="00CC5D37">
        <w:rPr>
          <w:lang w:val="de-DE"/>
        </w:rPr>
        <w:t>d) die Verwaltungsvorschrift(en), Dienstanweisung(en) bzw.</w:t>
      </w:r>
      <w:r w:rsidRPr="00CC5D37">
        <w:rPr>
          <w:lang w:val="de-DE"/>
        </w:rPr>
        <w:t xml:space="preserve"> Konfigurations- oder Regeldokumentation, die festlegen, nach welchen Kriterien Eingaben im System FACIL automatisiert geschlossen („ungelesen“) oder einer inhaltlichen Bearbeitung durch Bedienstete zugeführt werden; begehrt wird die Regelung in dokumentie</w:t>
      </w:r>
      <w:r w:rsidRPr="00CC5D37">
        <w:rPr>
          <w:lang w:val="de-DE"/>
        </w:rPr>
        <w:t>rter, menschenlesbarer Form, nicht der Programmcode als solcher.</w:t>
      </w:r>
    </w:p>
    <w:p w14:paraId="63F91C3C" w14:textId="77777777" w:rsidR="00EE28F9" w:rsidRPr="00CC5D37" w:rsidRDefault="002E41F1">
      <w:pPr>
        <w:pStyle w:val="ListNumber"/>
        <w:rPr>
          <w:lang w:val="de-DE"/>
        </w:rPr>
      </w:pPr>
      <w:r w:rsidRPr="00CC5D37">
        <w:rPr>
          <w:lang w:val="de-DE"/>
        </w:rPr>
        <w:t>Der Widerspruchsbescheid vom 2. Juli 2026 wird auch insoweit aufgehoben, als darin eine Gebühr in Höhe von 30,00 € festgesetzt wurde.</w:t>
      </w:r>
    </w:p>
    <w:p w14:paraId="66BD0A61" w14:textId="77777777" w:rsidR="00EE28F9" w:rsidRPr="00CC5D37" w:rsidRDefault="002E41F1">
      <w:pPr>
        <w:pStyle w:val="ListNumber"/>
        <w:rPr>
          <w:lang w:val="de-DE"/>
        </w:rPr>
      </w:pPr>
      <w:r w:rsidRPr="00CC5D37">
        <w:rPr>
          <w:lang w:val="de-DE"/>
        </w:rPr>
        <w:t>Hilfsweise zu 2.: Für den Fall, dass die Beklagte einzeln</w:t>
      </w:r>
      <w:r w:rsidRPr="00CC5D37">
        <w:rPr>
          <w:lang w:val="de-DE"/>
        </w:rPr>
        <w:t>e der begehrten Informationen als geheimhaltungsbedürftig einstuft, wird sie verpflichtet, für jede einzelne zurückgehaltene Information den konkreten Ausnahmetatbestand (§§ 3 bis 6 IFG) datensatzbezogen unter Angabe der tragenden Gründe zu bezeichnen.</w:t>
      </w:r>
    </w:p>
    <w:p w14:paraId="7D440A3E" w14:textId="77777777" w:rsidR="00EE28F9" w:rsidRPr="00CC5D37" w:rsidRDefault="002E41F1">
      <w:pPr>
        <w:pStyle w:val="ListNumber"/>
        <w:rPr>
          <w:lang w:val="de-DE"/>
        </w:rPr>
      </w:pPr>
      <w:r w:rsidRPr="00CC5D37">
        <w:rPr>
          <w:lang w:val="de-DE"/>
        </w:rPr>
        <w:t>Wei</w:t>
      </w:r>
      <w:r w:rsidRPr="00CC5D37">
        <w:rPr>
          <w:lang w:val="de-DE"/>
        </w:rPr>
        <w:t>ter hilfsweise: Die Beklagte wird unter Aufhebung der genannten Bescheide verpflichtet, über den Antrag unter Ziffer 2 unter Beachtung der Rechtsauffassung des Gerichts erneut zu entscheiden.</w:t>
      </w:r>
    </w:p>
    <w:p w14:paraId="3649F904" w14:textId="77777777" w:rsidR="00EE28F9" w:rsidRPr="00CC5D37" w:rsidRDefault="002E41F1">
      <w:pPr>
        <w:pStyle w:val="ListNumber"/>
        <w:rPr>
          <w:lang w:val="de-DE"/>
        </w:rPr>
      </w:pPr>
      <w:r w:rsidRPr="00CC5D37">
        <w:rPr>
          <w:lang w:val="de-DE"/>
        </w:rPr>
        <w:t>Die Beklagte trägt die Kosten des Verfahrens.</w:t>
      </w:r>
    </w:p>
    <w:p w14:paraId="4EE2D81B" w14:textId="77777777" w:rsidR="00EE28F9" w:rsidRPr="00CC5D37" w:rsidRDefault="002E41F1">
      <w:pPr>
        <w:spacing w:after="320"/>
        <w:rPr>
          <w:lang w:val="de-DE"/>
        </w:rPr>
      </w:pPr>
      <w:r w:rsidRPr="00CC5D37">
        <w:rPr>
          <w:lang w:val="de-DE"/>
        </w:rPr>
        <w:t>Ferner wird angere</w:t>
      </w:r>
      <w:r w:rsidRPr="00CC5D37">
        <w:rPr>
          <w:lang w:val="de-DE"/>
        </w:rPr>
        <w:t>gt, dem Gericht nach § 99 Abs. 1 Satz 1 VwGO die vollständige Behördenakte zum Vorgang 759bc4c4-387d-49e7-9e16-9a2b56c9da0e vorzulegen.</w:t>
      </w:r>
    </w:p>
    <w:p w14:paraId="6F8972DA" w14:textId="77777777" w:rsidR="00EE28F9" w:rsidRPr="00CC5D37" w:rsidRDefault="002E41F1">
      <w:pPr>
        <w:spacing w:after="160"/>
        <w:rPr>
          <w:lang w:val="de-DE"/>
        </w:rPr>
      </w:pPr>
      <w:r w:rsidRPr="00CC5D37">
        <w:rPr>
          <w:b/>
          <w:sz w:val="24"/>
          <w:lang w:val="de-DE"/>
        </w:rPr>
        <w:t>B. Begründung</w:t>
      </w:r>
    </w:p>
    <w:p w14:paraId="0707F662" w14:textId="77777777" w:rsidR="00EE28F9" w:rsidRPr="00CC5D37" w:rsidRDefault="002E41F1">
      <w:pPr>
        <w:spacing w:after="160"/>
        <w:rPr>
          <w:lang w:val="de-DE"/>
        </w:rPr>
      </w:pPr>
      <w:r w:rsidRPr="00CC5D37">
        <w:rPr>
          <w:b/>
          <w:lang w:val="de-DE"/>
        </w:rPr>
        <w:t>I. Sachverhalt</w:t>
      </w:r>
    </w:p>
    <w:p w14:paraId="5783B157" w14:textId="77777777" w:rsidR="00EE28F9" w:rsidRPr="00CC5D37" w:rsidRDefault="002E41F1">
      <w:pPr>
        <w:spacing w:after="280"/>
        <w:rPr>
          <w:lang w:val="de-DE"/>
        </w:rPr>
      </w:pPr>
      <w:r w:rsidRPr="00CC5D37">
        <w:rPr>
          <w:lang w:val="de-DE"/>
        </w:rPr>
        <w:t>Der Kläger wandte sich ab dem 21. September 2025 mit einer Eingabe an das Auswärtige Amt, d</w:t>
      </w:r>
      <w:r w:rsidRPr="00CC5D37">
        <w:rPr>
          <w:lang w:val="de-DE"/>
        </w:rPr>
        <w:t>ie einen mit Ton- und Dokumentenmaterial belegten Hinweis auf mögliche schwerwiegende Menschenrechtsverletzungen enthielt. Die Eingabe wurde unter dem Vorgang 759bc4c4-387d-49e7-9e16-9a2b56c9da0e im System FACIL erfasst, durch den Bürgerservice sowie Refer</w:t>
      </w:r>
      <w:r w:rsidRPr="00CC5D37">
        <w:rPr>
          <w:lang w:val="de-DE"/>
        </w:rPr>
        <w:t>at 114 bearbeitet und an das Länderreferat 206 weitergeleitet. Ein bei der Beklagten Beschäftigter (dirk.hennig@diplo.de) ist ausweislich der von der Beklagten selbst übermittelten Vorgangsdokumentation am 23.09.2025 mit dem Vorgang befasst gewesen. Herr B</w:t>
      </w:r>
      <w:r w:rsidRPr="00CC5D37">
        <w:rPr>
          <w:lang w:val="de-DE"/>
        </w:rPr>
        <w:t>öhm (Referat 114) bestätigte mit Schreiben vom 26.09.2025 den Eingang und leitete die Eingabe ausdrücklich an das für die Ukraine zuständige Länderreferat weiter; damit ist aktenkundig, dass die Anfrage empfangen und behördenintern verteilt wurde.</w:t>
      </w:r>
      <w:r w:rsidRPr="00CC5D37">
        <w:rPr>
          <w:lang w:val="de-DE"/>
        </w:rPr>
        <w:br/>
      </w:r>
      <w:r w:rsidRPr="00CC5D37">
        <w:rPr>
          <w:lang w:val="de-DE"/>
        </w:rPr>
        <w:br/>
        <w:t>Mit Ant</w:t>
      </w:r>
      <w:r w:rsidRPr="00CC5D37">
        <w:rPr>
          <w:lang w:val="de-DE"/>
        </w:rPr>
        <w:t>rag vom 18./19. April 2026 begehrte der Kläger Zugang nach dem IFG; die Beklagte lehnte den Zugang mit Bescheid vom 12. Mai 2026 ab und wies den Widerspruch mit Widerspruchsbescheid vom 2. Juli 2026 zurück. Die Beklagte hat dabei aktenkundig dargelegt, das</w:t>
      </w:r>
      <w:r w:rsidRPr="00CC5D37">
        <w:rPr>
          <w:lang w:val="de-DE"/>
        </w:rPr>
        <w:t xml:space="preserve">s sie rund 260.000 Bürgeranfragen jährlich über FACIL bearbeitet, dass </w:t>
      </w:r>
      <w:proofErr w:type="gramStart"/>
      <w:r w:rsidRPr="00CC5D37">
        <w:rPr>
          <w:lang w:val="de-DE"/>
        </w:rPr>
        <w:t>dieses Vorgänge</w:t>
      </w:r>
      <w:proofErr w:type="gramEnd"/>
      <w:r w:rsidRPr="00CC5D37">
        <w:rPr>
          <w:lang w:val="de-DE"/>
        </w:rPr>
        <w:t xml:space="preserve"> erstellt, Bearbeitungsschritte abbildet, intern weiterleitet und automatisierte Standardhinweise </w:t>
      </w:r>
      <w:r w:rsidRPr="00CC5D37">
        <w:rPr>
          <w:lang w:val="de-DE"/>
        </w:rPr>
        <w:lastRenderedPageBreak/>
        <w:t>generiert. In der Vorgangskorrespondenz heißt es zudem wörtlich, Anfrage</w:t>
      </w:r>
      <w:r w:rsidRPr="00CC5D37">
        <w:rPr>
          <w:lang w:val="de-DE"/>
        </w:rPr>
        <w:t>n würden „nach Versand einer automatischen Antwort durch das System ungelesen geschlossen“.</w:t>
      </w:r>
    </w:p>
    <w:p w14:paraId="72374918" w14:textId="77777777" w:rsidR="00EE28F9" w:rsidRPr="00CC5D37" w:rsidRDefault="002E41F1">
      <w:pPr>
        <w:spacing w:after="160"/>
        <w:rPr>
          <w:lang w:val="de-DE"/>
        </w:rPr>
      </w:pPr>
      <w:r w:rsidRPr="00CC5D37">
        <w:rPr>
          <w:b/>
          <w:lang w:val="de-DE"/>
        </w:rPr>
        <w:t>II. Streitgegenstand — Klarstellung</w:t>
      </w:r>
    </w:p>
    <w:p w14:paraId="4DFC0C8A" w14:textId="77777777" w:rsidR="00EE28F9" w:rsidRPr="00CC5D37" w:rsidRDefault="002E41F1">
      <w:pPr>
        <w:spacing w:after="280"/>
        <w:rPr>
          <w:lang w:val="de-DE"/>
        </w:rPr>
      </w:pPr>
      <w:r w:rsidRPr="00CC5D37">
        <w:rPr>
          <w:lang w:val="de-DE"/>
        </w:rPr>
        <w:t xml:space="preserve">Streitgegenstand ist allein der Zugang zu den vorhandenen, maschinell erzeugten Bearbeitungs-, Protokoll- und </w:t>
      </w:r>
      <w:r w:rsidRPr="00CC5D37">
        <w:rPr>
          <w:lang w:val="de-DE"/>
        </w:rPr>
        <w:t>Routing-Metadaten des Vorgangs (Antrag 2 a–c) sowie zu der dokumentierten Regel, nach der FACIL Eingaben schließt oder inhaltlich bearbeitet (Antrag 2 d). Der Kläger begehrt keine Erstellung neuer Dokumente, keine wertende Stellungnahme, keine Weiterleitun</w:t>
      </w:r>
      <w:r w:rsidRPr="00CC5D37">
        <w:rPr>
          <w:lang w:val="de-DE"/>
        </w:rPr>
        <w:t>g an Dritte und keinen Programmcode. Die von der Beklagten gezogene Grenze (§ 1 Abs. 1 Satz 1 IFG erfasse nur vorhandene Informationen) wird zugrunde gelegt; der Antrag ist hierauf zugeschnitten.</w:t>
      </w:r>
    </w:p>
    <w:p w14:paraId="5979D67C" w14:textId="77777777" w:rsidR="00EE28F9" w:rsidRPr="00CC5D37" w:rsidRDefault="002E41F1">
      <w:pPr>
        <w:spacing w:after="160"/>
        <w:rPr>
          <w:lang w:val="de-DE"/>
        </w:rPr>
      </w:pPr>
      <w:r w:rsidRPr="00CC5D37">
        <w:rPr>
          <w:b/>
          <w:lang w:val="de-DE"/>
        </w:rPr>
        <w:t>III. Anspruch aus § 1 Abs. 1 IFG — Vorliegen amtlicher Infor</w:t>
      </w:r>
      <w:r w:rsidRPr="00CC5D37">
        <w:rPr>
          <w:b/>
          <w:lang w:val="de-DE"/>
        </w:rPr>
        <w:t>mationen</w:t>
      </w:r>
    </w:p>
    <w:p w14:paraId="32263069" w14:textId="77777777" w:rsidR="00EE28F9" w:rsidRPr="00CC5D37" w:rsidRDefault="002E41F1">
      <w:pPr>
        <w:spacing w:after="280"/>
        <w:rPr>
          <w:lang w:val="de-DE"/>
        </w:rPr>
      </w:pPr>
      <w:r w:rsidRPr="00CC5D37">
        <w:rPr>
          <w:lang w:val="de-DE"/>
        </w:rPr>
        <w:t xml:space="preserve">Nach § 1 Abs. 1 Satz 1 IFG hat jeder Anspruch auf Zugang zu amtlichen Informationen. Amtliche Information ist nach § 2 Nr. 1 IFG </w:t>
      </w:r>
      <w:proofErr w:type="gramStart"/>
      <w:r w:rsidRPr="00CC5D37">
        <w:rPr>
          <w:lang w:val="de-DE"/>
        </w:rPr>
        <w:t>jede amtlichen Zwecken</w:t>
      </w:r>
      <w:proofErr w:type="gramEnd"/>
      <w:r w:rsidRPr="00CC5D37">
        <w:rPr>
          <w:lang w:val="de-DE"/>
        </w:rPr>
        <w:t xml:space="preserve"> dienende Aufzeichnung unabhängig von der Art der Speicherung; hierzu zählen die elektronischen </w:t>
      </w:r>
      <w:r w:rsidRPr="00CC5D37">
        <w:rPr>
          <w:lang w:val="de-DE"/>
        </w:rPr>
        <w:t>Protokoll-, Log- und Metadaten eines behördlichen Fachverfahrens, die den Gang der Bearbeitung eines konkreten Vorgangs dokumentieren. Das Vorliegen dieser Daten folgt aus dem eigenen Vortrag der Beklagten: Ein System, das Vorgänge erzeugt, Statusänderunge</w:t>
      </w:r>
      <w:r w:rsidRPr="00CC5D37">
        <w:rPr>
          <w:lang w:val="de-DE"/>
        </w:rPr>
        <w:t>n abbildet, weiterleitet, automatische Antworten versendet und Vorgänge „durch das System“ schließt, führt hierüber notwendig maschinenlesbare Protokoll- und Statusdaten. Gerade die aktenkundige Aussage, Vorgänge würden „nach Versand einer automatischen An</w:t>
      </w:r>
      <w:r w:rsidRPr="00CC5D37">
        <w:rPr>
          <w:lang w:val="de-DE"/>
        </w:rPr>
        <w:t>twort durch das System ungelesen geschlossen“, belegt die Existenz eines automatisierten, protokollierten Bearbeitungsvorgangs: Eine systemseitige Auto-Antwort und eine systemseitige Schließung setzen protokollierte Ereignisse (Zeitstempel, Status, auslöse</w:t>
      </w:r>
      <w:r w:rsidRPr="00CC5D37">
        <w:rPr>
          <w:lang w:val="de-DE"/>
        </w:rPr>
        <w:t>nde Regel) voraus.</w:t>
      </w:r>
      <w:r w:rsidRPr="00CC5D37">
        <w:rPr>
          <w:lang w:val="de-DE"/>
        </w:rPr>
        <w:br/>
      </w:r>
      <w:r w:rsidRPr="00CC5D37">
        <w:rPr>
          <w:lang w:val="de-DE"/>
        </w:rPr>
        <w:br/>
        <w:t>Soweit die Beklagte das Fehlen „interner Analysen, Bewertungen und Vermerke“ eingewandt hat, geht dies am Klageantrag vorbei. Begehrt werden nicht wertende Ausarbeitungen, sondern die technisch protokollierten Bearbeitungs- und Metadate</w:t>
      </w:r>
      <w:r w:rsidRPr="00CC5D37">
        <w:rPr>
          <w:lang w:val="de-DE"/>
        </w:rPr>
        <w:t>n. Über deren Nichtexistenz hat die Beklagte nichts vorgetragen; ein solcher Vortrag wäre mit der von ihr selbst beschriebenen Funktionsweise des Systems FACIL unvereinbar.</w:t>
      </w:r>
    </w:p>
    <w:p w14:paraId="7E1BEC0E" w14:textId="77777777" w:rsidR="00EE28F9" w:rsidRPr="00CC5D37" w:rsidRDefault="002E41F1">
      <w:pPr>
        <w:spacing w:after="160"/>
        <w:rPr>
          <w:lang w:val="de-DE"/>
        </w:rPr>
      </w:pPr>
      <w:r w:rsidRPr="00CC5D37">
        <w:rPr>
          <w:b/>
          <w:lang w:val="de-DE"/>
        </w:rPr>
        <w:t>IV. Zum Antrag auf die Regeldokumentation der Filterung (Antrag 2 d)</w:t>
      </w:r>
    </w:p>
    <w:p w14:paraId="103BD2F8" w14:textId="77777777" w:rsidR="00EE28F9" w:rsidRPr="00CC5D37" w:rsidRDefault="002E41F1">
      <w:pPr>
        <w:spacing w:after="280"/>
        <w:rPr>
          <w:lang w:val="de-DE"/>
        </w:rPr>
      </w:pPr>
      <w:r w:rsidRPr="00CC5D37">
        <w:rPr>
          <w:lang w:val="de-DE"/>
        </w:rPr>
        <w:t>Die Beklagte h</w:t>
      </w:r>
      <w:r w:rsidRPr="00CC5D37">
        <w:rPr>
          <w:lang w:val="de-DE"/>
        </w:rPr>
        <w:t>at selbst dargelegt, dass FACIL Eingaben regelbasiert behandelt: Vorgänge werden erstellt, weitergeleitet, automatische Hinweise ausgelöst und Vorgänge geschlossen. Eine solche inhaltssteuernde Automatisierung setzt eine Regel voraus. Existiert sie, so ist</w:t>
      </w:r>
      <w:r w:rsidRPr="00CC5D37">
        <w:rPr>
          <w:lang w:val="de-DE"/>
        </w:rPr>
        <w:t xml:space="preserve"> sie </w:t>
      </w:r>
      <w:proofErr w:type="gramStart"/>
      <w:r w:rsidRPr="00CC5D37">
        <w:rPr>
          <w:lang w:val="de-DE"/>
        </w:rPr>
        <w:t>eine amtlichen Zwecken</w:t>
      </w:r>
      <w:proofErr w:type="gramEnd"/>
      <w:r w:rsidRPr="00CC5D37">
        <w:rPr>
          <w:lang w:val="de-DE"/>
        </w:rPr>
        <w:t xml:space="preserve"> dienende Aufzeichnung und damit amtliche Information i.S.v. § 2 Nr. 1 IFG; ein Ausnahmetatbestand (§§ 3 bis 6 IFG) ist nicht ersichtlich. Existiert sie nicht, so trifft die Verwaltung eine für die Rechtsstellung der Bürger wesen</w:t>
      </w:r>
      <w:r w:rsidRPr="00CC5D37">
        <w:rPr>
          <w:lang w:val="de-DE"/>
        </w:rPr>
        <w:t xml:space="preserve">tliche Entscheidung ohne jede schriftlich fixierte, nachvollziehbare Grundlage — dies wäre mit Art. 20 Abs. 3 GG nicht </w:t>
      </w:r>
      <w:r w:rsidRPr="00CC5D37">
        <w:rPr>
          <w:lang w:val="de-DE"/>
        </w:rPr>
        <w:lastRenderedPageBreak/>
        <w:t xml:space="preserve">vereinbar. Der Kläger begehrt die Regel ausdrücklich in dokumentierter, menschenlesbarer Form, nicht den Quellcode oder die Software als </w:t>
      </w:r>
      <w:r w:rsidRPr="00CC5D37">
        <w:rPr>
          <w:lang w:val="de-DE"/>
        </w:rPr>
        <w:t>solche.</w:t>
      </w:r>
    </w:p>
    <w:p w14:paraId="62192D90" w14:textId="77777777" w:rsidR="00EE28F9" w:rsidRPr="00CC5D37" w:rsidRDefault="002E41F1">
      <w:pPr>
        <w:spacing w:after="160"/>
        <w:rPr>
          <w:lang w:val="de-DE"/>
        </w:rPr>
      </w:pPr>
      <w:r w:rsidRPr="00CC5D37">
        <w:rPr>
          <w:b/>
          <w:lang w:val="de-DE"/>
        </w:rPr>
        <w:t>V. Qualifikation als amtliche Information; grundrechtlicher Kontext (Art. 1 Abs. 3 GG)</w:t>
      </w:r>
    </w:p>
    <w:p w14:paraId="7AF5D35D" w14:textId="77777777" w:rsidR="00EE28F9" w:rsidRPr="00CC5D37" w:rsidRDefault="002E41F1">
      <w:pPr>
        <w:spacing w:after="280"/>
        <w:rPr>
          <w:lang w:val="de-DE"/>
        </w:rPr>
      </w:pPr>
      <w:r w:rsidRPr="00CC5D37">
        <w:rPr>
          <w:lang w:val="de-DE"/>
        </w:rPr>
        <w:t>Maßgeblich ist nicht die Unterscheidung „Software oder Dokument“, sondern ob die Aufzeichnung amtlichen Zwecken dient und die Bearbeitung eines konkreten Verwalt</w:t>
      </w:r>
      <w:r w:rsidRPr="00CC5D37">
        <w:rPr>
          <w:lang w:val="de-DE"/>
        </w:rPr>
        <w:t xml:space="preserve">ungsvorgangs dokumentiert. Der Vorgang betraf einen Hinweis auf eine mögliche Menschenrechtsverletzung zum Nachteil einer Person, die sich nach dem Vortrag des Klägers zum maßgeblichen Zeitpunkt im Rahmen eines deutsch-ukrainischen Programms auf deutschem </w:t>
      </w:r>
      <w:r w:rsidRPr="00CC5D37">
        <w:rPr>
          <w:lang w:val="de-DE"/>
        </w:rPr>
        <w:t>Hoheitsgebiet aufhielt. Dieser grundrechtliche Bezug ist kein eigenständiger Streitgegenstand, wohl aber Auslegungsmaßstab: Nach Art. 1 Abs. 3 GG ist alle staatliche Gewalt an die Grundrechte gebunden. Dass die Beklagte diese Daten als „standardmäßig gener</w:t>
      </w:r>
      <w:r w:rsidRPr="00CC5D37">
        <w:rPr>
          <w:lang w:val="de-DE"/>
        </w:rPr>
        <w:t>iert“ bezeichnet, ändert an ihrer Rechtsnatur nichts: Der Zugangsanspruch nach § 1 Abs. 1 IFG hängt nicht von der Relevanzeinschätzung der Behörde ab, sondern vom objektiven Vorliegen amtlicher Informationen.</w:t>
      </w:r>
    </w:p>
    <w:p w14:paraId="43BA7FC3" w14:textId="77777777" w:rsidR="00EE28F9" w:rsidRPr="00CC5D37" w:rsidRDefault="002E41F1">
      <w:pPr>
        <w:spacing w:after="160"/>
        <w:rPr>
          <w:lang w:val="de-DE"/>
        </w:rPr>
      </w:pPr>
      <w:r w:rsidRPr="00CC5D37">
        <w:rPr>
          <w:b/>
          <w:lang w:val="de-DE"/>
        </w:rPr>
        <w:t xml:space="preserve">VI. Keine Ausnahmetatbestände; Grenzen des § 3 </w:t>
      </w:r>
      <w:r w:rsidRPr="00CC5D37">
        <w:rPr>
          <w:b/>
          <w:lang w:val="de-DE"/>
        </w:rPr>
        <w:t xml:space="preserve">Nr. 3 </w:t>
      </w:r>
      <w:proofErr w:type="spellStart"/>
      <w:r w:rsidRPr="00CC5D37">
        <w:rPr>
          <w:b/>
          <w:lang w:val="de-DE"/>
        </w:rPr>
        <w:t>lit</w:t>
      </w:r>
      <w:proofErr w:type="spellEnd"/>
      <w:r w:rsidRPr="00CC5D37">
        <w:rPr>
          <w:b/>
          <w:lang w:val="de-DE"/>
        </w:rPr>
        <w:t>. b und § 4 IFG</w:t>
      </w:r>
    </w:p>
    <w:p w14:paraId="64C421BF" w14:textId="77777777" w:rsidR="00EE28F9" w:rsidRPr="00CC5D37" w:rsidRDefault="002E41F1">
      <w:pPr>
        <w:spacing w:after="280"/>
        <w:rPr>
          <w:lang w:val="de-DE"/>
        </w:rPr>
      </w:pPr>
      <w:r w:rsidRPr="00CC5D37">
        <w:rPr>
          <w:lang w:val="de-DE"/>
        </w:rPr>
        <w:t xml:space="preserve">Ein Ausschlussgrund nach §§ 3 bis 6 IFG ist weder ersichtlich noch datensatzbezogen dargelegt. Der Schutz behördlicher Beratungen (§ 3 Nr. 3 </w:t>
      </w:r>
      <w:proofErr w:type="spellStart"/>
      <w:r w:rsidRPr="00CC5D37">
        <w:rPr>
          <w:lang w:val="de-DE"/>
        </w:rPr>
        <w:t>lit</w:t>
      </w:r>
      <w:proofErr w:type="spellEnd"/>
      <w:r w:rsidRPr="00CC5D37">
        <w:rPr>
          <w:lang w:val="de-DE"/>
        </w:rPr>
        <w:t xml:space="preserve">. b IFG) bzw. des Entscheidungsbildungsprozesses (§ 4 IFG) trägt nicht: Begehrt werden </w:t>
      </w:r>
      <w:r w:rsidRPr="00CC5D37">
        <w:rPr>
          <w:lang w:val="de-DE"/>
        </w:rPr>
        <w:t>maschinell erzeugte Verfahrens- und Metadaten sowie eine dokumentierte Konfigurationsregel, nicht der Inhalt einer inhaltlichen Beratung. Wo — nach eigenem Vortrag der Beklagten — ein Vorgang „ungelesen“ maschinell geschlossen wird, fand ein geschützter in</w:t>
      </w:r>
      <w:r w:rsidRPr="00CC5D37">
        <w:rPr>
          <w:lang w:val="de-DE"/>
        </w:rPr>
        <w:t>haltlicher Beratungsprozess gerade nicht statt. Personenbezogene Daten Dritter (§ 5 IFG) stehen nicht entgegen; begehrt werden nur funktionsbezogene bzw. pseudonyme Kennungen.</w:t>
      </w:r>
    </w:p>
    <w:p w14:paraId="534F8848" w14:textId="77777777" w:rsidR="00EE28F9" w:rsidRPr="00CC5D37" w:rsidRDefault="002E41F1">
      <w:pPr>
        <w:spacing w:after="160"/>
        <w:rPr>
          <w:lang w:val="de-DE"/>
        </w:rPr>
      </w:pPr>
      <w:r w:rsidRPr="00CC5D37">
        <w:rPr>
          <w:b/>
          <w:lang w:val="de-DE"/>
        </w:rPr>
        <w:t>VII. Verfassungsrechtliche Rüge</w:t>
      </w:r>
    </w:p>
    <w:p w14:paraId="2D2C2193" w14:textId="77777777" w:rsidR="00EE28F9" w:rsidRPr="00CC5D37" w:rsidRDefault="002E41F1">
      <w:pPr>
        <w:spacing w:after="280"/>
        <w:rPr>
          <w:lang w:val="de-DE"/>
        </w:rPr>
      </w:pPr>
      <w:r w:rsidRPr="00CC5D37">
        <w:rPr>
          <w:lang w:val="de-DE"/>
        </w:rPr>
        <w:t>Die angegriffene Verwaltungspraxis ist auch im L</w:t>
      </w:r>
      <w:r w:rsidRPr="00CC5D37">
        <w:rPr>
          <w:lang w:val="de-DE"/>
        </w:rPr>
        <w:t>ichte des Verfassungsrechts auszulegen. Das Petitionsgrundrecht (Art. 17 GG) gewährleistet die Entgegennahme, die inhaltliche Kenntnisnahme und die sachliche Bescheidung von Eingaben; eine systemseitige Schließung „ungelesen“ — so das ausdrückliche Eingest</w:t>
      </w:r>
      <w:r w:rsidRPr="00CC5D37">
        <w:rPr>
          <w:lang w:val="de-DE"/>
        </w:rPr>
        <w:t>ändnis der Beklagten — nimmt den Inhalt gerade nicht zur Kenntnis. Nach Art. 1 Abs. 3 GG ist alle staatliche Gewalt an die Grundrechte gebunden; diese Bindung wirkt bereits an der Eingangsschwelle der Verwaltung. Je gewichtiger der grundrechtliche Bezug ei</w:t>
      </w:r>
      <w:r w:rsidRPr="00CC5D37">
        <w:rPr>
          <w:lang w:val="de-DE"/>
        </w:rPr>
        <w:t>ner Eingabe — hier: Hinweise auf mögliche schwerwiegende Menschenrechtsverletzungen —, desto höher sind die Anforderungen an eine sachgerechte, dokumentierte Bearbeitung und desto strenger der Maßstab für die Auslegung etwaiger Ausnahmetatbestände. Ein pau</w:t>
      </w:r>
      <w:r w:rsidRPr="00CC5D37">
        <w:rPr>
          <w:lang w:val="de-DE"/>
        </w:rPr>
        <w:t>schaler Verweis auf das Fehlen von Vermerken genügt diesen Anforderungen nicht.</w:t>
      </w:r>
    </w:p>
    <w:p w14:paraId="1110E211" w14:textId="77777777" w:rsidR="00EE28F9" w:rsidRPr="00CC5D37" w:rsidRDefault="002E41F1">
      <w:pPr>
        <w:spacing w:after="160"/>
        <w:rPr>
          <w:lang w:val="de-DE"/>
        </w:rPr>
      </w:pPr>
      <w:r w:rsidRPr="00CC5D37">
        <w:rPr>
          <w:b/>
          <w:lang w:val="de-DE"/>
        </w:rPr>
        <w:t>VIII. Zur Gebührenfestsetzung (Antrag 3)</w:t>
      </w:r>
    </w:p>
    <w:p w14:paraId="4FBD5B99" w14:textId="77777777" w:rsidR="00EE28F9" w:rsidRPr="00CC5D37" w:rsidRDefault="002E41F1">
      <w:pPr>
        <w:spacing w:after="280"/>
        <w:rPr>
          <w:lang w:val="de-DE"/>
        </w:rPr>
      </w:pPr>
      <w:r w:rsidRPr="00CC5D37">
        <w:rPr>
          <w:lang w:val="de-DE"/>
        </w:rPr>
        <w:lastRenderedPageBreak/>
        <w:t xml:space="preserve">Die Gebühr von 30,00 € beruht auf § 10 IFG </w:t>
      </w:r>
      <w:proofErr w:type="spellStart"/>
      <w:r w:rsidRPr="00CC5D37">
        <w:rPr>
          <w:lang w:val="de-DE"/>
        </w:rPr>
        <w:t>i.V.m</w:t>
      </w:r>
      <w:proofErr w:type="spellEnd"/>
      <w:r w:rsidRPr="00CC5D37">
        <w:rPr>
          <w:lang w:val="de-DE"/>
        </w:rPr>
        <w:t>. der IFG-Gebührenverordnung und knüpft an die Zurückweisung des Widerspruchs an. Erwei</w:t>
      </w:r>
      <w:r w:rsidRPr="00CC5D37">
        <w:rPr>
          <w:lang w:val="de-DE"/>
        </w:rPr>
        <w:t>st sich die Zurückweisung als rechtswidrig, weil der begehrte Zugang zu Unrecht verweigert wurde, entfällt die Grundlage der Gebührenfestsetzung; sie ist dann aufzuheben.</w:t>
      </w:r>
    </w:p>
    <w:p w14:paraId="2E6FE9FB" w14:textId="77777777" w:rsidR="00EE28F9" w:rsidRPr="00CC5D37" w:rsidRDefault="002E41F1">
      <w:pPr>
        <w:spacing w:after="160"/>
        <w:rPr>
          <w:lang w:val="de-DE"/>
        </w:rPr>
      </w:pPr>
      <w:r w:rsidRPr="00CC5D37">
        <w:rPr>
          <w:b/>
          <w:lang w:val="de-DE"/>
        </w:rPr>
        <w:t>IX. Anforderungen an die Ablehnungsbegründung (§ 39 VwVfG)</w:t>
      </w:r>
    </w:p>
    <w:p w14:paraId="166FFD28" w14:textId="77777777" w:rsidR="00EE28F9" w:rsidRPr="00CC5D37" w:rsidRDefault="002E41F1">
      <w:pPr>
        <w:spacing w:after="280"/>
        <w:rPr>
          <w:lang w:val="de-DE"/>
        </w:rPr>
      </w:pPr>
      <w:r w:rsidRPr="00CC5D37">
        <w:rPr>
          <w:lang w:val="de-DE"/>
        </w:rPr>
        <w:t>Ein pauschaler Verweis auf</w:t>
      </w:r>
      <w:r w:rsidRPr="00CC5D37">
        <w:rPr>
          <w:lang w:val="de-DE"/>
        </w:rPr>
        <w:t xml:space="preserve"> das Fehlen „amtlicher Informationen“ genügt bezogen auf technisch protokollierte, nach dem Systemvortrag vorhandene Metadaten und auf die dokumentierte Konfigurationsregel nicht. Die Ablehnung bedarf einer datensatzbezogenen, die tragenden Erwägungen mitt</w:t>
      </w:r>
      <w:r w:rsidRPr="00CC5D37">
        <w:rPr>
          <w:lang w:val="de-DE"/>
        </w:rPr>
        <w:t>eilenden Begründung (§ 39 Abs. 1 VwVfG). Angesichts des unter V. dargelegten grundrechtlichen Bezugs sind an diese Begründung erhöhte Anforderungen zu stellen.</w:t>
      </w:r>
    </w:p>
    <w:p w14:paraId="614F9922" w14:textId="77777777" w:rsidR="00EE28F9" w:rsidRPr="00CC5D37" w:rsidRDefault="002E41F1">
      <w:pPr>
        <w:spacing w:after="160"/>
        <w:rPr>
          <w:lang w:val="de-DE"/>
        </w:rPr>
      </w:pPr>
      <w:r w:rsidRPr="00CC5D37">
        <w:rPr>
          <w:b/>
          <w:lang w:val="de-DE"/>
        </w:rPr>
        <w:t>X. Beweis / § 99 VwGO</w:t>
      </w:r>
    </w:p>
    <w:p w14:paraId="45B290A2" w14:textId="77777777" w:rsidR="00EE28F9" w:rsidRPr="00CC5D37" w:rsidRDefault="002E41F1">
      <w:pPr>
        <w:spacing w:after="280"/>
        <w:rPr>
          <w:lang w:val="de-DE"/>
        </w:rPr>
      </w:pPr>
      <w:r w:rsidRPr="00CC5D37">
        <w:rPr>
          <w:lang w:val="de-DE"/>
        </w:rPr>
        <w:t xml:space="preserve">Sollte die Beklagte geltend machen, die Daten oder die Regeldokumentation </w:t>
      </w:r>
      <w:r w:rsidRPr="00CC5D37">
        <w:rPr>
          <w:lang w:val="de-DE"/>
        </w:rPr>
        <w:t>seien geheimhaltungsbedürftig oder nicht vorzulegen, trifft sie die datensatzbezogene Darlegungslast. Für diesen Fall wird die Vorlage an das Gericht nach § 99 Abs. 1 Satz 2 VwGO angeregt; im Falle einer Sperrerklärung ist über deren Rechtmäßigkeit im Verf</w:t>
      </w:r>
      <w:r w:rsidRPr="00CC5D37">
        <w:rPr>
          <w:lang w:val="de-DE"/>
        </w:rPr>
        <w:t>ahren nach § 99 Abs. 2 VwGO (Fachsenat) zu entscheiden.</w:t>
      </w:r>
    </w:p>
    <w:p w14:paraId="6E63642D" w14:textId="77777777" w:rsidR="00EE28F9" w:rsidRPr="00CC5D37" w:rsidRDefault="002E41F1">
      <w:pPr>
        <w:spacing w:after="160"/>
        <w:rPr>
          <w:lang w:val="de-DE"/>
        </w:rPr>
      </w:pPr>
      <w:r w:rsidRPr="00CC5D37">
        <w:rPr>
          <w:b/>
          <w:lang w:val="de-DE"/>
        </w:rPr>
        <w:t>XI. Anregung zur Sachaufklärung (§ 86 Abs. 1 VwGO)</w:t>
      </w:r>
    </w:p>
    <w:p w14:paraId="7606FD91" w14:textId="77777777" w:rsidR="00EE28F9" w:rsidRPr="00CC5D37" w:rsidRDefault="002E41F1">
      <w:pPr>
        <w:rPr>
          <w:lang w:val="de-DE"/>
        </w:rPr>
      </w:pPr>
      <w:r w:rsidRPr="00CC5D37">
        <w:rPr>
          <w:lang w:val="de-DE"/>
        </w:rPr>
        <w:t>Zur Entscheidung über den Antrag zu 2 d (Regeldokumentation) regt der Kläger an, die Beklagte im Rahmen der gerichtlichen Sachaufklärung (§ 86 Abs. 1</w:t>
      </w:r>
      <w:r w:rsidRPr="00CC5D37">
        <w:rPr>
          <w:lang w:val="de-DE"/>
        </w:rPr>
        <w:t xml:space="preserve"> VwGO) um Auskunft zu ersuchen. Die Beklagte hat zwei aktenkundige Erklärungen abgegeben, die zusammengenommen das Bestehen eines Sortierungsmechanismus belegen: erstens, Bürgeranfragen zu vielen Themen würden „nach Versand einer automatischen Antwort durc</w:t>
      </w:r>
      <w:r w:rsidRPr="00CC5D37">
        <w:rPr>
          <w:lang w:val="de-DE"/>
        </w:rPr>
        <w:t>h das System ungelesen geschlossen“; zweitens, im vorliegenden Vorgang sei der automatische Löschhinweis „nicht zum Tragen“ gekommen. Wenn manche Vorgänge ungelesen geschlossen werden und andere nicht, so existiert ein Kriterium, nach dem das System bzw. d</w:t>
      </w:r>
      <w:r w:rsidRPr="00CC5D37">
        <w:rPr>
          <w:lang w:val="de-DE"/>
        </w:rPr>
        <w:t>ie Behörde unterscheidet.</w:t>
      </w:r>
      <w:r w:rsidRPr="00CC5D37">
        <w:rPr>
          <w:lang w:val="de-DE"/>
        </w:rPr>
        <w:br/>
      </w:r>
      <w:r w:rsidRPr="00CC5D37">
        <w:rPr>
          <w:lang w:val="de-DE"/>
        </w:rPr>
        <w:br/>
        <w:t>Für die Beurteilung, ob und in welcher Form eine dokumentierte Regel im Sinne des Antrags zu 2 d besteht, ist die Beantwortung folgender Fragen entscheidungserheblich:</w:t>
      </w:r>
    </w:p>
    <w:p w14:paraId="053AA12F" w14:textId="77777777" w:rsidR="00EE28F9" w:rsidRPr="00CC5D37" w:rsidRDefault="002E41F1">
      <w:pPr>
        <w:spacing w:after="160"/>
        <w:rPr>
          <w:lang w:val="de-DE"/>
        </w:rPr>
      </w:pPr>
      <w:r w:rsidRPr="00CC5D37">
        <w:rPr>
          <w:lang w:val="de-DE"/>
        </w:rPr>
        <w:t>1. Erfasst die automatisierte Schließung („ungelesen geschlos</w:t>
      </w:r>
      <w:r w:rsidRPr="00CC5D37">
        <w:rPr>
          <w:lang w:val="de-DE"/>
        </w:rPr>
        <w:t>sen“) auch Eingaben, die substantiiert belegte Hinweise auf schwerwiegende Menschenrechtsverletzungen enthalten, oder werden solche Eingaben hiervon ausgenommen?</w:t>
      </w:r>
    </w:p>
    <w:p w14:paraId="35464524" w14:textId="77777777" w:rsidR="00EE28F9" w:rsidRPr="00CC5D37" w:rsidRDefault="002E41F1">
      <w:pPr>
        <w:spacing w:after="160"/>
        <w:rPr>
          <w:lang w:val="de-DE"/>
        </w:rPr>
      </w:pPr>
      <w:r w:rsidRPr="00CC5D37">
        <w:rPr>
          <w:lang w:val="de-DE"/>
        </w:rPr>
        <w:t xml:space="preserve">2. Falls solche Eingaben von der automatisierten Schließung erfasst werden: Auf welcher </w:t>
      </w:r>
      <w:r w:rsidRPr="00CC5D37">
        <w:rPr>
          <w:lang w:val="de-DE"/>
        </w:rPr>
        <w:t xml:space="preserve">dokumentierten Grundlage (Verwaltungsvorschrift, Dienstanweisung, Konfigurations- oder </w:t>
      </w:r>
      <w:proofErr w:type="spellStart"/>
      <w:r w:rsidRPr="00CC5D37">
        <w:rPr>
          <w:lang w:val="de-DE"/>
        </w:rPr>
        <w:t>Kriterienregel</w:t>
      </w:r>
      <w:proofErr w:type="spellEnd"/>
      <w:r w:rsidRPr="00CC5D37">
        <w:rPr>
          <w:lang w:val="de-DE"/>
        </w:rPr>
        <w:t>) beruht dies?</w:t>
      </w:r>
    </w:p>
    <w:p w14:paraId="63D75157" w14:textId="77777777" w:rsidR="00EE28F9" w:rsidRPr="00CC5D37" w:rsidRDefault="002E41F1">
      <w:pPr>
        <w:spacing w:after="160"/>
        <w:rPr>
          <w:lang w:val="de-DE"/>
        </w:rPr>
      </w:pPr>
      <w:r w:rsidRPr="00CC5D37">
        <w:rPr>
          <w:lang w:val="de-DE"/>
        </w:rPr>
        <w:t>3. Falls solche Eingaben hiervon ausgenommen werden: Nach welchen dokumentierten organisatorischen oder technischen Kriterien bestimmt das S</w:t>
      </w:r>
      <w:r w:rsidRPr="00CC5D37">
        <w:rPr>
          <w:lang w:val="de-DE"/>
        </w:rPr>
        <w:t xml:space="preserve">ystem FACIL, welche Eingaben der </w:t>
      </w:r>
      <w:r w:rsidRPr="00CC5D37">
        <w:rPr>
          <w:lang w:val="de-DE"/>
        </w:rPr>
        <w:lastRenderedPageBreak/>
        <w:t>automatisierten Schließung zugeführt und welche einer inhaltlichen Bearbeitung durch Bedienstete vorbehalten werden?</w:t>
      </w:r>
    </w:p>
    <w:p w14:paraId="56585996" w14:textId="77777777" w:rsidR="00EE28F9" w:rsidRPr="00CC5D37" w:rsidRDefault="002E41F1">
      <w:pPr>
        <w:spacing w:after="160"/>
        <w:rPr>
          <w:lang w:val="de-DE"/>
        </w:rPr>
      </w:pPr>
      <w:r w:rsidRPr="00CC5D37">
        <w:rPr>
          <w:lang w:val="de-DE"/>
        </w:rPr>
        <w:t>4. Enthält das im System FACIL hinterlegte Regelwerk ein Kriterium, nach dem eine Eingabe einer inhaltlich</w:t>
      </w:r>
      <w:r w:rsidRPr="00CC5D37">
        <w:rPr>
          <w:lang w:val="de-DE"/>
        </w:rPr>
        <w:t>en (nicht automatisierten) Bearbeitung zugeführt wird, wenn sie Anhaltspunkte dafür enthält, dass die betroffene Person sich im deutschen Hoheitsgebiet aufhält oder einer deutschen Schutzpflicht unterfallen könnte? Falls ja: wie lautet dieses Kriterium und</w:t>
      </w:r>
      <w:r w:rsidRPr="00CC5D37">
        <w:rPr>
          <w:lang w:val="de-DE"/>
        </w:rPr>
        <w:t xml:space="preserve"> wo ist es dokumentiert? Falls nein: ist ein möglicher Inlands- oder Schutzpflichtbezug einer Eingabe für die Entscheidung über die automatisierte Schließung ohne Bedeutung?</w:t>
      </w:r>
    </w:p>
    <w:p w14:paraId="1671A750" w14:textId="77777777" w:rsidR="00EE28F9" w:rsidRPr="00CC5D37" w:rsidRDefault="002E41F1">
      <w:pPr>
        <w:spacing w:after="160"/>
        <w:rPr>
          <w:lang w:val="de-DE"/>
        </w:rPr>
      </w:pPr>
      <w:r w:rsidRPr="00CC5D37">
        <w:rPr>
          <w:lang w:val="de-DE"/>
        </w:rPr>
        <w:t>5. Enthält das System FACIL oder das ihm zugrunde liegende Regelwerk spezifische F</w:t>
      </w:r>
      <w:r w:rsidRPr="00CC5D37">
        <w:rPr>
          <w:lang w:val="de-DE"/>
        </w:rPr>
        <w:t xml:space="preserve">ilter-, Eskalations- oder Priorisierungskriterien für Eingaben, die im direkten oder indirekten Zusammenhang mit historisch und verfassungsrechtlich sensiblen Kontexten stehen — </w:t>
      </w:r>
      <w:proofErr w:type="gramStart"/>
      <w:r w:rsidRPr="00CC5D37">
        <w:rPr>
          <w:lang w:val="de-DE"/>
        </w:rPr>
        <w:t>insbesondere</w:t>
      </w:r>
      <w:proofErr w:type="gramEnd"/>
      <w:r w:rsidRPr="00CC5D37">
        <w:rPr>
          <w:lang w:val="de-DE"/>
        </w:rPr>
        <w:t xml:space="preserve"> wenn diese, wie im Fall des Klägers als Enkel eines Holocaust-Übe</w:t>
      </w:r>
      <w:r w:rsidRPr="00CC5D37">
        <w:rPr>
          <w:lang w:val="de-DE"/>
        </w:rPr>
        <w:t>rlebenden, substantiierte Beweismittel (einschließlich Audio-Zeugenberichte) zu aktuellen schweren Menschenrechtsverletzungen enthalten? Falls ja: Wie lauten diese Kriterien? Falls nein: Bedeutet dies, dass das System FACIL gegenüber diesem Kontext vollstä</w:t>
      </w:r>
      <w:r w:rsidRPr="00CC5D37">
        <w:rPr>
          <w:lang w:val="de-DE"/>
        </w:rPr>
        <w:t>ndig blind operiert?</w:t>
      </w:r>
    </w:p>
    <w:p w14:paraId="212C570B" w14:textId="77777777" w:rsidR="00EE28F9" w:rsidRPr="00CC5D37" w:rsidRDefault="002E41F1">
      <w:pPr>
        <w:spacing w:after="160"/>
        <w:rPr>
          <w:lang w:val="de-DE"/>
        </w:rPr>
      </w:pPr>
      <w:r w:rsidRPr="00CC5D37">
        <w:rPr>
          <w:lang w:val="de-DE"/>
        </w:rPr>
        <w:t>6. Stellt das im Vorgang dokumentierte Setzen des Status „</w:t>
      </w:r>
      <w:proofErr w:type="spellStart"/>
      <w:r w:rsidRPr="00CC5D37">
        <w:rPr>
          <w:lang w:val="de-DE"/>
        </w:rPr>
        <w:t>privileged</w:t>
      </w:r>
      <w:proofErr w:type="spellEnd"/>
      <w:r w:rsidRPr="00CC5D37">
        <w:rPr>
          <w:lang w:val="de-DE"/>
        </w:rPr>
        <w:t>“ (u.a. im Zusammenhang mit dem Bearbeitungseintrag dirk.hennig@diplo.de) den Nachweis einer konkreten menschlichen Kenntnisnahme dar? Falls ja: Auf welcher rechtliche</w:t>
      </w:r>
      <w:r w:rsidRPr="00CC5D37">
        <w:rPr>
          <w:lang w:val="de-DE"/>
        </w:rPr>
        <w:t>n Grundlage und nach welchen dokumentierten Kriterien wird einer Bürgereingabe dieser Status zugewiesen, und welche konkreten Anschlussmaßnahmen wurden veranlasst? Falls nein: Ist es im System FACIL vorgesehen, den Status „</w:t>
      </w:r>
      <w:proofErr w:type="spellStart"/>
      <w:r w:rsidRPr="00CC5D37">
        <w:rPr>
          <w:lang w:val="de-DE"/>
        </w:rPr>
        <w:t>privileged</w:t>
      </w:r>
      <w:proofErr w:type="spellEnd"/>
      <w:r w:rsidRPr="00CC5D37">
        <w:rPr>
          <w:lang w:val="de-DE"/>
        </w:rPr>
        <w:t>“ vollautomatisiert und</w:t>
      </w:r>
      <w:r w:rsidRPr="00CC5D37">
        <w:rPr>
          <w:lang w:val="de-DE"/>
        </w:rPr>
        <w:t xml:space="preserve"> ohne menschliche Kenntnisnahme des Inhalts zu vergeben?</w:t>
      </w:r>
    </w:p>
    <w:p w14:paraId="3D141691" w14:textId="4AD34BD6" w:rsidR="00EE28F9" w:rsidRPr="00CC5D37" w:rsidRDefault="002E41F1">
      <w:pPr>
        <w:spacing w:after="160"/>
        <w:rPr>
          <w:lang w:val="de-DE"/>
        </w:rPr>
      </w:pPr>
      <w:r w:rsidRPr="00CC5D37">
        <w:rPr>
          <w:lang w:val="de-DE"/>
        </w:rPr>
        <w:t xml:space="preserve">7. </w:t>
      </w:r>
      <w:proofErr w:type="spellStart"/>
      <w:r w:rsidR="00CC5D37" w:rsidRPr="00CC5D37">
        <w:rPr>
          <w:lang w:val="de-DE"/>
        </w:rPr>
        <w:t>Sieht</w:t>
      </w:r>
      <w:proofErr w:type="spellEnd"/>
      <w:r w:rsidR="00CC5D37" w:rsidRPr="00CC5D37">
        <w:rPr>
          <w:lang w:val="de-DE"/>
        </w:rPr>
        <w:t xml:space="preserve"> das System FACIL </w:t>
      </w:r>
      <w:proofErr w:type="spellStart"/>
      <w:r w:rsidR="00CC5D37" w:rsidRPr="00CC5D37">
        <w:rPr>
          <w:lang w:val="de-DE"/>
        </w:rPr>
        <w:t>technisch</w:t>
      </w:r>
      <w:proofErr w:type="spellEnd"/>
      <w:r w:rsidR="00CC5D37" w:rsidRPr="00CC5D37">
        <w:rPr>
          <w:lang w:val="de-DE"/>
        </w:rPr>
        <w:t xml:space="preserve"> </w:t>
      </w:r>
      <w:proofErr w:type="spellStart"/>
      <w:r w:rsidR="00CC5D37" w:rsidRPr="00CC5D37">
        <w:rPr>
          <w:lang w:val="de-DE"/>
        </w:rPr>
        <w:t>vor</w:t>
      </w:r>
      <w:proofErr w:type="spellEnd"/>
      <w:r w:rsidR="00CC5D37" w:rsidRPr="00CC5D37">
        <w:rPr>
          <w:lang w:val="de-DE"/>
        </w:rPr>
        <w:t>, den Status „</w:t>
      </w:r>
      <w:proofErr w:type="spellStart"/>
      <w:r w:rsidR="00CC5D37" w:rsidRPr="00CC5D37">
        <w:rPr>
          <w:lang w:val="de-DE"/>
        </w:rPr>
        <w:t>Privileged</w:t>
      </w:r>
      <w:proofErr w:type="spellEnd"/>
      <w:r w:rsidR="00CC5D37" w:rsidRPr="00CC5D37">
        <w:rPr>
          <w:lang w:val="de-DE"/>
        </w:rPr>
        <w:t>“ vollautomatisiert und ohne jegliche menschliche Überprüfung zu vergeben? Falls ja: Wie hoch ist die dokumentierte Fehlquote (</w:t>
      </w:r>
      <w:proofErr w:type="spellStart"/>
      <w:r w:rsidR="00CC5D37" w:rsidRPr="00CC5D37">
        <w:rPr>
          <w:lang w:val="de-DE"/>
        </w:rPr>
        <w:t>False</w:t>
      </w:r>
      <w:proofErr w:type="spellEnd"/>
      <w:r w:rsidR="00CC5D37" w:rsidRPr="00CC5D37">
        <w:rPr>
          <w:lang w:val="de-DE"/>
        </w:rPr>
        <w:t xml:space="preserve">-Positive-Rate) dieses Sortierungsalgorithmus? Bei den von der Beklagten eingeräumten ca. 260.000 jährlichen Bürgereingaben würde selbst eine Fehlquote von nur 1 % bedeuten, dass jährlich rund 2.600 grundrechtlich relevante Eingaben fälschlicherweise ungeprüft blockiert werden. Wie vereinbart die Beklagte diese systemische Fehleranfälligkeit bei der Filterung von Menschenrechtshinweisen mit der verfassungsrechtlichen Pflicht zu einem sachgerechten, transparenten Verwaltungsverfahren und dem Schutz des menschlichen Lebens (Art. 20 Abs. 3 </w:t>
      </w:r>
      <w:proofErr w:type="spellStart"/>
      <w:r w:rsidR="00CC5D37" w:rsidRPr="00CC5D37">
        <w:rPr>
          <w:lang w:val="de-DE"/>
        </w:rPr>
        <w:t>i.V.m</w:t>
      </w:r>
      <w:proofErr w:type="spellEnd"/>
      <w:r w:rsidR="00CC5D37" w:rsidRPr="00CC5D37">
        <w:rPr>
          <w:lang w:val="de-DE"/>
        </w:rPr>
        <w:t xml:space="preserve">. Art. 1 Abs. 1 und Art. 2 Abs. 2 GG)? Dies gilt insbesondere dann, wenn das Übersehen akuter Schutzsignale im System nachweislich tödliche Konsequenzen hat (vgl. Fall Y.C.) – wie auch im Fall des Klägers als Enkel eines </w:t>
      </w:r>
      <w:proofErr w:type="spellStart"/>
      <w:r w:rsidR="00CC5D37" w:rsidRPr="00CC5D37">
        <w:rPr>
          <w:lang w:val="de-DE"/>
        </w:rPr>
        <w:t>entschädigten</w:t>
      </w:r>
      <w:proofErr w:type="spellEnd"/>
      <w:r w:rsidR="00CC5D37" w:rsidRPr="00CC5D37">
        <w:rPr>
          <w:lang w:val="de-DE"/>
        </w:rPr>
        <w:t xml:space="preserve"> Holocaust-</w:t>
      </w:r>
      <w:proofErr w:type="spellStart"/>
      <w:r w:rsidR="00CC5D37" w:rsidRPr="00CC5D37">
        <w:rPr>
          <w:lang w:val="de-DE"/>
        </w:rPr>
        <w:t>Überlebenden</w:t>
      </w:r>
      <w:proofErr w:type="spellEnd"/>
      <w:r w:rsidR="00CC5D37" w:rsidRPr="00CC5D37">
        <w:rPr>
          <w:lang w:val="de-DE"/>
        </w:rPr>
        <w:t>.</w:t>
      </w:r>
    </w:p>
    <w:p w14:paraId="46B27CC9" w14:textId="163CB784" w:rsidR="00EE28F9" w:rsidRPr="00CC5D37" w:rsidRDefault="002E41F1" w:rsidP="00CC5D37">
      <w:pPr>
        <w:rPr>
          <w:lang w:val="de-DE"/>
        </w:rPr>
      </w:pPr>
      <w:r w:rsidRPr="00CC5D37">
        <w:rPr>
          <w:lang w:val="de-DE"/>
        </w:rPr>
        <w:t xml:space="preserve">8. </w:t>
      </w:r>
      <w:r w:rsidR="00CC5D37" w:rsidRPr="00CC5D37">
        <w:rPr>
          <w:lang w:val="de-DE"/>
        </w:rPr>
        <w:t>Sofern die Bearbeitung im vorliegenden Fall nicht in einem „hybriden Modus“ (FACIL + menschliche Prüfung), sondern rein automatisiert erfolgte: Wie entwickelte sich die Fehlquote (False-Positive-Rate) der verschiedenen FACIL-Softwareversionen über die Jahre hinweg in Prozent? Gab es messbare Optimierungen bei der Erkennung grundrechtsrelevanter Eingaben? Falls nein: Aus welchen Gründen wurde auf ein entsprechendes Qualitätsmanagement und kontinuierliche Systemverbesserungen (Iterationen) verzichtet?</w:t>
      </w:r>
    </w:p>
    <w:p w14:paraId="486A0921" w14:textId="71B473FF" w:rsidR="00EE28F9" w:rsidRPr="00CC5D37" w:rsidRDefault="002E41F1" w:rsidP="00CC5D37">
      <w:pPr>
        <w:rPr>
          <w:lang w:val="de-DE"/>
        </w:rPr>
      </w:pPr>
      <w:r w:rsidRPr="00CC5D37">
        <w:rPr>
          <w:lang w:val="de-DE"/>
        </w:rPr>
        <w:lastRenderedPageBreak/>
        <w:t xml:space="preserve">9. </w:t>
      </w:r>
      <w:r w:rsidR="00CC5D37" w:rsidRPr="00CC5D37">
        <w:rPr>
          <w:lang w:val="de-DE"/>
        </w:rPr>
        <w:t>Wie hoch sind der prozentuale Anteil und die absolute Anzahl der Bürgereingaben (einschließlich der des Klägers), die jährlich auf systemseitige Empfehlung von FACIL vollautomatisiert oder durch Bedienstete „ungelesen gelöscht“ bzw. ungesehen geschlossen werden? Wie hat sich diese Zahl in den letzten Jahren entwickelt? Wie stellt die Beklagte prozedural und technisch sicher, dass diese gelöschten Eingaben keine kritischen Informationen enthalten, die eine unmittelbare Gefahr für Leib und Leben bedeuten (Art. 2 Abs. 2 GG) oder einen Inlands- bzw. Schutzpflichtbezug (wie im Fall D.K.) aufweisen? Existiert in FACIL ein funktionsfähiger Priorisierungs- oder Eskalationsmechanismus für historisch und verfassungsrechtlich sensible Kontexte (wie beim Kläger als Enkel eines entschädigten Holocaust-Überlebenden, vgl. Fall Y.C.)? Falls ja: Warum haben die genannten Fälle diese Filter nicht erfolgreich durchlaufen? Verfügt die Beklagte über ein standardisiertes Beschwerdeverfahren, um Fehlfunktionen dieses Sortierungsalgorithmus durch Rückmeldungen Betroffener systematisch zu erfassen und zu korrigieren?</w:t>
      </w:r>
    </w:p>
    <w:p w14:paraId="26ED1639" w14:textId="77777777" w:rsidR="00EE28F9" w:rsidRPr="00CC5D37" w:rsidRDefault="002E41F1">
      <w:pPr>
        <w:spacing w:after="280"/>
        <w:rPr>
          <w:lang w:val="de-DE"/>
        </w:rPr>
      </w:pPr>
      <w:r w:rsidRPr="00CC5D37">
        <w:rPr>
          <w:lang w:val="de-DE"/>
        </w:rPr>
        <w:t xml:space="preserve">Der Kläger verkennt nicht, dass die </w:t>
      </w:r>
      <w:r w:rsidRPr="00CC5D37">
        <w:rPr>
          <w:lang w:val="de-DE"/>
        </w:rPr>
        <w:t>Sachaufklärung dem Gericht von Amts wegen obliegt und dass ihre Reichweite durch den Streitgegenstand begrenzt ist. Die vorstehenden Fragen sind indes gerade auf den Streitgegenstand bezogen: Ihre Beantwortung entscheidet, ob die mit Antrag zu 2 d begehrte</w:t>
      </w:r>
      <w:r w:rsidRPr="00CC5D37">
        <w:rPr>
          <w:lang w:val="de-DE"/>
        </w:rPr>
        <w:t xml:space="preserve"> Regel existiert und dokumentiert ist.</w:t>
      </w:r>
    </w:p>
    <w:p w14:paraId="707A5D60" w14:textId="77777777" w:rsidR="00EE28F9" w:rsidRPr="00CC5D37" w:rsidRDefault="002E41F1">
      <w:pPr>
        <w:spacing w:after="160"/>
        <w:rPr>
          <w:lang w:val="de-DE"/>
        </w:rPr>
      </w:pPr>
      <w:r w:rsidRPr="00CC5D37">
        <w:rPr>
          <w:b/>
          <w:lang w:val="de-DE"/>
        </w:rPr>
        <w:t>XII. Ergebnis</w:t>
      </w:r>
    </w:p>
    <w:p w14:paraId="215D0F75" w14:textId="77777777" w:rsidR="00EE28F9" w:rsidRPr="00CC5D37" w:rsidRDefault="002E41F1">
      <w:pPr>
        <w:spacing w:after="360"/>
        <w:rPr>
          <w:lang w:val="de-DE"/>
        </w:rPr>
      </w:pPr>
      <w:r w:rsidRPr="00CC5D37">
        <w:rPr>
          <w:lang w:val="de-DE"/>
        </w:rPr>
        <w:t>Die Ablehnung des Zugangs zu den unter Ziffer 2 bezeichneten, vorhandenen Metadaten und zu der dokumentierten Filterungsregel ist rechtswidrig und verletzt den Kläger in seinem Anspruch aus § 1 Abs. 1 IF</w:t>
      </w:r>
      <w:r w:rsidRPr="00CC5D37">
        <w:rPr>
          <w:lang w:val="de-DE"/>
        </w:rPr>
        <w:t>G (§ 113 Abs. 5 VwGO). Die Beklagte ist antragsgemäß zu verpflichten.</w:t>
      </w:r>
    </w:p>
    <w:p w14:paraId="0A26BE6B" w14:textId="77777777" w:rsidR="00EE28F9" w:rsidRPr="00CC5D37" w:rsidRDefault="002E41F1">
      <w:pPr>
        <w:spacing w:after="160"/>
        <w:rPr>
          <w:lang w:val="de-DE"/>
        </w:rPr>
      </w:pPr>
      <w:r w:rsidRPr="00CC5D37">
        <w:rPr>
          <w:b/>
          <w:lang w:val="de-DE"/>
        </w:rPr>
        <w:t>C. Verfahrensrechtliche Anregung — Entscheidung im schriftlichen Verfahren (§ 101 Abs. 2 VwGO)</w:t>
      </w:r>
    </w:p>
    <w:p w14:paraId="0B63CA38" w14:textId="77777777" w:rsidR="00EE28F9" w:rsidRPr="00CC5D37" w:rsidRDefault="002E41F1">
      <w:pPr>
        <w:spacing w:after="400"/>
        <w:rPr>
          <w:lang w:val="de-DE"/>
        </w:rPr>
      </w:pPr>
      <w:r w:rsidRPr="00CC5D37">
        <w:rPr>
          <w:lang w:val="de-DE"/>
        </w:rPr>
        <w:t>Aus gesundheitlichen Gründen und zum Schutz der Privatsphäre — insbesondere vor dem Hinterg</w:t>
      </w:r>
      <w:r w:rsidRPr="00CC5D37">
        <w:rPr>
          <w:lang w:val="de-DE"/>
        </w:rPr>
        <w:t>rund der dargelegten, belastenden familiären Bedeutung dieser Menschenrechtsthematik — verzichtet der Kläger hiermit ausdrücklich auf eine mündliche Verhandlung. Der Kläger regt an, im schriftlichen Verfahren zu entscheiden, und steht für sämtliche Rückfra</w:t>
      </w:r>
      <w:r w:rsidRPr="00CC5D37">
        <w:rPr>
          <w:lang w:val="de-DE"/>
        </w:rPr>
        <w:t>gen oder Beweisanforderungen des Gerichts jederzeit vollumfänglich schriftlich zur Verfügung.</w:t>
      </w:r>
    </w:p>
    <w:p w14:paraId="0E51746E" w14:textId="7702620E" w:rsidR="00EE28F9" w:rsidRPr="00CC5D37" w:rsidRDefault="002E41F1">
      <w:pPr>
        <w:spacing w:after="400"/>
        <w:rPr>
          <w:lang w:val="de-DE"/>
        </w:rPr>
      </w:pPr>
      <w:r w:rsidRPr="00CC5D37">
        <w:rPr>
          <w:lang w:val="de-DE"/>
        </w:rPr>
        <w:t>Ort, Datum ___________________</w:t>
      </w:r>
      <w:proofErr w:type="gramStart"/>
      <w:r w:rsidRPr="00CC5D37">
        <w:rPr>
          <w:lang w:val="de-DE"/>
        </w:rPr>
        <w:t>_  Unterschrift</w:t>
      </w:r>
      <w:proofErr w:type="gramEnd"/>
      <w:r w:rsidRPr="00CC5D37">
        <w:rPr>
          <w:lang w:val="de-DE"/>
        </w:rPr>
        <w:t xml:space="preserve"> ______________</w:t>
      </w:r>
      <w:r w:rsidR="0067005E">
        <w:rPr>
          <w:lang w:val="de-DE"/>
        </w:rPr>
        <w:t xml:space="preserve"> </w:t>
      </w:r>
      <w:r w:rsidRPr="00CC5D37">
        <w:rPr>
          <w:lang w:val="de-DE"/>
        </w:rPr>
        <w:t xml:space="preserve">(Dr. </w:t>
      </w:r>
      <w:r w:rsidR="008F3856">
        <w:rPr>
          <w:lang w:val="de-DE"/>
        </w:rPr>
        <w:t xml:space="preserve">Artiom </w:t>
      </w:r>
      <w:r w:rsidRPr="00CC5D37">
        <w:rPr>
          <w:lang w:val="de-DE"/>
        </w:rPr>
        <w:t>A. Kovnatsky)</w:t>
      </w:r>
    </w:p>
    <w:p w14:paraId="65EC4845" w14:textId="77777777" w:rsidR="00EE28F9" w:rsidRPr="00CC5D37" w:rsidRDefault="002E41F1">
      <w:pPr>
        <w:spacing w:after="0"/>
        <w:rPr>
          <w:lang w:val="de-DE"/>
        </w:rPr>
      </w:pPr>
      <w:r w:rsidRPr="00CC5D37">
        <w:rPr>
          <w:i/>
          <w:lang w:val="de-DE"/>
        </w:rPr>
        <w:t>Anlagen: Bescheid vom 12.05.2026; Widerspruchsbescheid vom 02.07.2026; Vorga</w:t>
      </w:r>
      <w:r w:rsidRPr="00CC5D37">
        <w:rPr>
          <w:i/>
          <w:lang w:val="de-DE"/>
        </w:rPr>
        <w:t xml:space="preserve">ngsdokumentation FACIL (Auszug mit </w:t>
      </w:r>
      <w:proofErr w:type="spellStart"/>
      <w:r w:rsidRPr="00CC5D37">
        <w:rPr>
          <w:i/>
          <w:lang w:val="de-DE"/>
        </w:rPr>
        <w:t>Bearbeitervermerk</w:t>
      </w:r>
      <w:proofErr w:type="spellEnd"/>
      <w:r w:rsidRPr="00CC5D37">
        <w:rPr>
          <w:i/>
          <w:lang w:val="de-DE"/>
        </w:rPr>
        <w:t xml:space="preserve"> vom 23.09.2025); Korrespondenz mit Vermerk „ungelesen geschlossen“.</w:t>
      </w:r>
    </w:p>
    <w:sectPr w:rsidR="00EE28F9" w:rsidRPr="00CC5D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1F1"/>
    <w:rsid w:val="00326F90"/>
    <w:rsid w:val="0067005E"/>
    <w:rsid w:val="008F3856"/>
    <w:rsid w:val="00AA1D8D"/>
    <w:rsid w:val="00B47730"/>
    <w:rsid w:val="00CB0664"/>
    <w:rsid w:val="00CC5D37"/>
    <w:rsid w:val="00EE28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01E1B"/>
  <w14:defaultImageDpi w14:val="300"/>
  <w15:docId w15:val="{0BCD2D89-53C6-F947-871A-53E43738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96431">
      <w:bodyDiv w:val="1"/>
      <w:marLeft w:val="0"/>
      <w:marRight w:val="0"/>
      <w:marTop w:val="0"/>
      <w:marBottom w:val="0"/>
      <w:divBdr>
        <w:top w:val="none" w:sz="0" w:space="0" w:color="auto"/>
        <w:left w:val="none" w:sz="0" w:space="0" w:color="auto"/>
        <w:bottom w:val="none" w:sz="0" w:space="0" w:color="auto"/>
        <w:right w:val="none" w:sz="0" w:space="0" w:color="auto"/>
      </w:divBdr>
    </w:div>
    <w:div w:id="1448431294">
      <w:bodyDiv w:val="1"/>
      <w:marLeft w:val="0"/>
      <w:marRight w:val="0"/>
      <w:marTop w:val="0"/>
      <w:marBottom w:val="0"/>
      <w:divBdr>
        <w:top w:val="none" w:sz="0" w:space="0" w:color="auto"/>
        <w:left w:val="none" w:sz="0" w:space="0" w:color="auto"/>
        <w:bottom w:val="none" w:sz="0" w:space="0" w:color="auto"/>
        <w:right w:val="none" w:sz="0" w:space="0" w:color="auto"/>
      </w:divBdr>
    </w:div>
    <w:div w:id="15506107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2862</Words>
  <Characters>16314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5</cp:revision>
  <cp:lastPrinted>2026-07-07T10:51:00Z</cp:lastPrinted>
  <dcterms:created xsi:type="dcterms:W3CDTF">2026-07-07T10:51:00Z</dcterms:created>
  <dcterms:modified xsi:type="dcterms:W3CDTF">2026-07-07T10:51:00Z</dcterms:modified>
  <cp:category/>
</cp:coreProperties>
</file>