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VI. Anträge</w:t>
      </w:r>
    </w:p>
    <w:p>
      <w:r>
        <w:t>Unter Bezugnahme auf die bisherigen Schriftsätze sowie die vorstehenden Ausführungen beantragt der Kläger, die bereits gestellten Anträge wie folgt zusammenfassend zu berücksichtigen:</w:t>
      </w:r>
    </w:p>
    <w:p>
      <w:pPr>
        <w:pStyle w:val="ListNumber"/>
      </w:pPr>
      <w:r>
        <w:t>1. Die vollständige Behördenakte, soweit sie für das vorliegende Verfahren von Bedeutung ist, dem Gericht vorzulegen.</w:t>
      </w:r>
    </w:p>
    <w:p>
      <w:pPr>
        <w:pStyle w:val="ListNumber"/>
      </w:pPr>
      <w:r>
        <w:t>2. Soweit die Behördenakte elektronische Bestandteile des Verwaltungsvorgangs umfasst oder auf solche Bezug nimmt, diese im Rahmen der gesetzlichen Vorgaben ebenfalls vorzulegen.</w:t>
      </w:r>
    </w:p>
    <w:p>
      <w:pPr>
        <w:pStyle w:val="ListNumber"/>
      </w:pPr>
      <w:r>
        <w:t>3. Die Unterlagen nach Möglichkeit nachvollziehbar und innerhalb der jeweiligen Dokumentengruppen chronologisch geordnet einzureichen.</w:t>
      </w:r>
    </w:p>
    <w:p>
      <w:pPr>
        <w:pStyle w:val="ListNumber"/>
      </w:pPr>
      <w:r>
        <w:t>4. Soweit einzelne Unterlagen oder Datensätze nicht vorgelegt werden können, dies – soweit möglich und rechtlich zulässig – kurz zu erläutern.</w:t>
      </w:r>
    </w:p>
    <w:p>
      <w:pPr>
        <w:pStyle w:val="ListNumber"/>
      </w:pPr>
      <w:r>
        <w:t>5. Die als Anlagen A bis F beigefügten Übersichten und Checklisten als organisatorische Hilfsmittel zur Prüfung der Vollständigkeit der Akten zur Kenntnis zu nehmen.</w:t>
      </w:r>
    </w:p>
    <w:p>
      <w:pPr>
        <w:pStyle w:val="Heading2"/>
      </w:pPr>
      <w:r>
        <w:t>Erläuterung</w:t>
      </w:r>
    </w:p>
    <w:p>
      <w:r>
        <w:t>Die vorstehenden Anträge dienen ausschließlich der Konkretisierung und Strukturierung des bereits anhängigen Begehrens auf Akteneinsicht und Aktenvorlage. Sie enthalten keine Erweiterung des Streitgegenstandes und keine neuen selbständigen Sachanträge.</w:t>
      </w:r>
    </w:p>
    <w:p>
      <w:r>
        <w:t>Ziel ist vielmehr, eine möglichst vollständige und nachvollziehbare Grundlage für die gerichtliche Prüfung zu schaffen und die Zuordnung der einzelnen Dokumente innerhalb des Verwaltungsvorgangs zu erleichtern.</w:t>
      </w:r>
    </w:p>
    <w:p>
      <w:pPr>
        <w:pStyle w:val="Heading2"/>
      </w:pPr>
      <w:r>
        <w:t>Überleitung</w:t>
      </w:r>
    </w:p>
    <w:p>
      <w:r>
        <w:t>Im anschließenden Anlagenverzeichnis werden die dem Schriftsatz beigefügten Anlagen mit ihrem jeweiligen Zweck aufgeführt.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