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D80E4" w14:textId="77777777" w:rsidR="001A0625" w:rsidRPr="006B3230" w:rsidRDefault="001A0625" w:rsidP="001A0625">
      <w:pPr>
        <w:pStyle w:val="Heading3"/>
        <w:keepNext w:val="0"/>
        <w:keepLines w:val="0"/>
        <w:spacing w:before="280"/>
        <w:rPr>
          <w:b/>
          <w:bCs/>
          <w:color w:val="000000"/>
          <w:sz w:val="26"/>
          <w:szCs w:val="26"/>
          <w:lang w:val="de-DE"/>
        </w:rPr>
      </w:pPr>
      <w:r>
        <w:rPr>
          <w:b/>
          <w:bCs/>
          <w:color w:val="000000"/>
          <w:sz w:val="26"/>
          <w:szCs w:val="26"/>
        </w:rPr>
        <w:t>ДОКУМЕНТ</w:t>
      </w:r>
      <w:r w:rsidRPr="006B3230">
        <w:rPr>
          <w:b/>
          <w:bCs/>
          <w:color w:val="000000"/>
          <w:sz w:val="26"/>
          <w:szCs w:val="26"/>
          <w:lang w:val="de-DE"/>
        </w:rPr>
        <w:t xml:space="preserve"> 2 — Petition </w:t>
      </w:r>
      <w:proofErr w:type="gramStart"/>
      <w:r w:rsidRPr="006B3230">
        <w:rPr>
          <w:b/>
          <w:bCs/>
          <w:color w:val="000000"/>
          <w:sz w:val="26"/>
          <w:szCs w:val="26"/>
          <w:lang w:val="de-DE"/>
        </w:rPr>
        <w:t>an</w:t>
      </w:r>
      <w:proofErr w:type="gramEnd"/>
      <w:r w:rsidRPr="006B3230">
        <w:rPr>
          <w:b/>
          <w:bCs/>
          <w:color w:val="000000"/>
          <w:sz w:val="26"/>
          <w:szCs w:val="26"/>
          <w:lang w:val="de-DE"/>
        </w:rPr>
        <w:t xml:space="preserve"> den Deutschen Bundestag (Art. 17 GG)</w:t>
      </w:r>
    </w:p>
    <w:p w14:paraId="52E680C5" w14:textId="77777777" w:rsidR="001A0625" w:rsidRPr="006B3230" w:rsidRDefault="001A0625" w:rsidP="001A0625">
      <w:pPr>
        <w:pStyle w:val="Heading3"/>
        <w:keepNext w:val="0"/>
        <w:keepLines w:val="0"/>
        <w:spacing w:before="240" w:after="240"/>
        <w:ind w:left="600" w:right="600"/>
        <w:rPr>
          <w:color w:val="000000"/>
          <w:sz w:val="26"/>
          <w:szCs w:val="26"/>
          <w:lang w:val="de-DE"/>
        </w:rPr>
      </w:pPr>
      <w:r w:rsidRPr="006B3230">
        <w:rPr>
          <w:b/>
          <w:bCs/>
          <w:color w:val="000000"/>
          <w:sz w:val="26"/>
          <w:szCs w:val="26"/>
          <w:lang w:val="de-DE"/>
        </w:rPr>
        <w:t>Rahmen:</w:t>
      </w:r>
      <w:r w:rsidRPr="006B3230">
        <w:rPr>
          <w:color w:val="000000"/>
          <w:sz w:val="26"/>
          <w:szCs w:val="26"/>
          <w:lang w:val="de-DE"/>
        </w:rPr>
        <w:t xml:space="preserve"> </w:t>
      </w:r>
      <w:r>
        <w:rPr>
          <w:color w:val="000000"/>
          <w:sz w:val="26"/>
          <w:szCs w:val="26"/>
        </w:rPr>
        <w:t>Подаётся</w:t>
      </w:r>
      <w:r w:rsidRPr="006B3230">
        <w:rPr>
          <w:color w:val="000000"/>
          <w:sz w:val="26"/>
          <w:szCs w:val="26"/>
          <w:lang w:val="de-DE"/>
        </w:rPr>
        <w:t xml:space="preserve"> </w:t>
      </w:r>
      <w:r>
        <w:rPr>
          <w:color w:val="000000"/>
          <w:sz w:val="26"/>
          <w:szCs w:val="26"/>
        </w:rPr>
        <w:t>онлайн</w:t>
      </w:r>
      <w:r w:rsidRPr="006B3230">
        <w:rPr>
          <w:color w:val="000000"/>
          <w:sz w:val="26"/>
          <w:szCs w:val="26"/>
          <w:lang w:val="de-DE"/>
        </w:rPr>
        <w:t xml:space="preserve"> </w:t>
      </w:r>
      <w:r>
        <w:rPr>
          <w:color w:val="000000"/>
          <w:sz w:val="26"/>
          <w:szCs w:val="26"/>
        </w:rPr>
        <w:t>через</w:t>
      </w:r>
      <w:r w:rsidRPr="006B3230">
        <w:rPr>
          <w:color w:val="000000"/>
          <w:sz w:val="26"/>
          <w:szCs w:val="26"/>
          <w:lang w:val="de-DE"/>
        </w:rPr>
        <w:t xml:space="preserve"> epetitionen.bundestag.de </w:t>
      </w:r>
      <w:r>
        <w:rPr>
          <w:color w:val="000000"/>
          <w:sz w:val="26"/>
          <w:szCs w:val="26"/>
        </w:rPr>
        <w:t>или</w:t>
      </w:r>
      <w:r w:rsidRPr="006B3230">
        <w:rPr>
          <w:color w:val="000000"/>
          <w:sz w:val="26"/>
          <w:szCs w:val="26"/>
          <w:lang w:val="de-DE"/>
        </w:rPr>
        <w:t xml:space="preserve"> </w:t>
      </w:r>
      <w:r>
        <w:rPr>
          <w:color w:val="000000"/>
          <w:sz w:val="26"/>
          <w:szCs w:val="26"/>
        </w:rPr>
        <w:t>письмом</w:t>
      </w:r>
      <w:r w:rsidRPr="006B3230">
        <w:rPr>
          <w:color w:val="000000"/>
          <w:sz w:val="26"/>
          <w:szCs w:val="26"/>
          <w:lang w:val="de-DE"/>
        </w:rPr>
        <w:t xml:space="preserve">: Deutscher Bundestag, Petitionsausschuss, Platz der Republik 1, 11011 Berlin. </w:t>
      </w:r>
      <w:r>
        <w:rPr>
          <w:color w:val="000000"/>
          <w:sz w:val="26"/>
          <w:szCs w:val="26"/>
        </w:rPr>
        <w:t>Можно</w:t>
      </w:r>
      <w:r w:rsidRPr="006B3230">
        <w:rPr>
          <w:color w:val="000000"/>
          <w:sz w:val="26"/>
          <w:szCs w:val="26"/>
          <w:lang w:val="de-DE"/>
        </w:rPr>
        <w:t xml:space="preserve"> </w:t>
      </w:r>
      <w:r>
        <w:rPr>
          <w:color w:val="000000"/>
          <w:sz w:val="26"/>
          <w:szCs w:val="26"/>
        </w:rPr>
        <w:t>как</w:t>
      </w:r>
      <w:r w:rsidRPr="006B3230">
        <w:rPr>
          <w:color w:val="000000"/>
          <w:sz w:val="26"/>
          <w:szCs w:val="26"/>
          <w:lang w:val="de-DE"/>
        </w:rPr>
        <w:t xml:space="preserve"> Einzelpetition. </w:t>
      </w:r>
      <w:r>
        <w:rPr>
          <w:color w:val="000000"/>
          <w:sz w:val="26"/>
          <w:szCs w:val="26"/>
        </w:rPr>
        <w:t>Пояснения</w:t>
      </w:r>
      <w:r w:rsidRPr="006B3230">
        <w:rPr>
          <w:color w:val="000000"/>
          <w:sz w:val="26"/>
          <w:szCs w:val="26"/>
          <w:lang w:val="de-DE"/>
        </w:rPr>
        <w:t xml:space="preserve"> </w:t>
      </w:r>
      <w:r>
        <w:rPr>
          <w:color w:val="000000"/>
          <w:sz w:val="26"/>
          <w:szCs w:val="26"/>
        </w:rPr>
        <w:t>по</w:t>
      </w:r>
      <w:r w:rsidRPr="006B3230">
        <w:rPr>
          <w:color w:val="000000"/>
          <w:sz w:val="26"/>
          <w:szCs w:val="26"/>
          <w:lang w:val="de-DE"/>
        </w:rPr>
        <w:t>-</w:t>
      </w:r>
      <w:r>
        <w:rPr>
          <w:color w:val="000000"/>
          <w:sz w:val="26"/>
          <w:szCs w:val="26"/>
        </w:rPr>
        <w:t>русски</w:t>
      </w:r>
      <w:r w:rsidRPr="006B3230">
        <w:rPr>
          <w:color w:val="000000"/>
          <w:sz w:val="26"/>
          <w:szCs w:val="26"/>
          <w:lang w:val="de-DE"/>
        </w:rPr>
        <w:t xml:space="preserve"> — </w:t>
      </w:r>
      <w:r>
        <w:rPr>
          <w:color w:val="000000"/>
          <w:sz w:val="26"/>
          <w:szCs w:val="26"/>
        </w:rPr>
        <w:t>после</w:t>
      </w:r>
      <w:r w:rsidRPr="006B3230">
        <w:rPr>
          <w:color w:val="000000"/>
          <w:sz w:val="26"/>
          <w:szCs w:val="26"/>
          <w:lang w:val="de-DE"/>
        </w:rPr>
        <w:t xml:space="preserve"> </w:t>
      </w:r>
      <w:r>
        <w:rPr>
          <w:color w:val="000000"/>
          <w:sz w:val="26"/>
          <w:szCs w:val="26"/>
        </w:rPr>
        <w:t>текста</w:t>
      </w:r>
      <w:r w:rsidRPr="006B3230">
        <w:rPr>
          <w:color w:val="000000"/>
          <w:sz w:val="26"/>
          <w:szCs w:val="26"/>
          <w:lang w:val="de-DE"/>
        </w:rPr>
        <w:t>.</w:t>
      </w:r>
    </w:p>
    <w:p w14:paraId="6FE6EC84" w14:textId="77777777" w:rsidR="001A0625" w:rsidRPr="006B3230" w:rsidRDefault="001A0625" w:rsidP="001A0625">
      <w:pPr>
        <w:pStyle w:val="Heading3"/>
        <w:keepNext w:val="0"/>
        <w:keepLines w:val="0"/>
        <w:spacing w:before="240" w:after="240"/>
        <w:rPr>
          <w:b/>
          <w:bCs/>
          <w:color w:val="000000"/>
          <w:sz w:val="26"/>
          <w:szCs w:val="26"/>
          <w:lang w:val="de-DE"/>
        </w:rPr>
      </w:pPr>
      <w:r w:rsidRPr="006B3230">
        <w:rPr>
          <w:b/>
          <w:bCs/>
          <w:color w:val="000000"/>
          <w:sz w:val="26"/>
          <w:szCs w:val="26"/>
          <w:lang w:val="de-DE"/>
        </w:rPr>
        <w:t>An den Petitionsausschuss des Deutschen Bundestages</w:t>
      </w:r>
    </w:p>
    <w:p w14:paraId="090C73D3" w14:textId="77777777" w:rsidR="001A0625" w:rsidRPr="006B3230" w:rsidRDefault="001A0625" w:rsidP="001A0625">
      <w:pPr>
        <w:pStyle w:val="Heading3"/>
        <w:keepNext w:val="0"/>
        <w:keepLines w:val="0"/>
        <w:spacing w:before="240" w:after="240"/>
        <w:rPr>
          <w:b/>
          <w:bCs/>
          <w:color w:val="000000"/>
          <w:sz w:val="26"/>
          <w:szCs w:val="26"/>
          <w:lang w:val="de-DE"/>
        </w:rPr>
      </w:pPr>
      <w:r w:rsidRPr="006B3230">
        <w:rPr>
          <w:b/>
          <w:bCs/>
          <w:color w:val="000000"/>
          <w:sz w:val="26"/>
          <w:szCs w:val="26"/>
          <w:lang w:val="de-DE"/>
        </w:rPr>
        <w:t>Petition gemäß Art. 17 GG</w:t>
      </w:r>
    </w:p>
    <w:p w14:paraId="3DC42079" w14:textId="77777777" w:rsidR="001A0625" w:rsidRPr="006B3230" w:rsidRDefault="001A0625" w:rsidP="001A0625">
      <w:pPr>
        <w:pStyle w:val="Heading3"/>
        <w:keepNext w:val="0"/>
        <w:keepLines w:val="0"/>
        <w:spacing w:before="240" w:after="240"/>
        <w:rPr>
          <w:color w:val="000000"/>
          <w:sz w:val="26"/>
          <w:szCs w:val="26"/>
          <w:lang w:val="de-DE"/>
        </w:rPr>
      </w:pPr>
      <w:r w:rsidRPr="006B3230">
        <w:rPr>
          <w:b/>
          <w:bCs/>
          <w:color w:val="000000"/>
          <w:sz w:val="26"/>
          <w:szCs w:val="26"/>
          <w:lang w:val="de-DE"/>
        </w:rPr>
        <w:t>Betreff:</w:t>
      </w:r>
      <w:r w:rsidRPr="006B3230">
        <w:rPr>
          <w:color w:val="000000"/>
          <w:sz w:val="26"/>
          <w:szCs w:val="26"/>
          <w:lang w:val="de-DE"/>
        </w:rPr>
        <w:t xml:space="preserve"> Automatisierte Schließung menschenrechtsrelevanter Bürgereingaben im Auswärtigen Amt (System FACIL) — Überprüfung der Verhältnismäßigkeit behördlicher Bearbeitungsregeln</w:t>
      </w:r>
    </w:p>
    <w:p w14:paraId="281E8BFD" w14:textId="77777777" w:rsidR="001A0625" w:rsidRPr="006B3230" w:rsidRDefault="001A0625" w:rsidP="001A0625">
      <w:pPr>
        <w:pStyle w:val="Heading3"/>
        <w:keepNext w:val="0"/>
        <w:keepLines w:val="0"/>
        <w:spacing w:before="240" w:after="240"/>
        <w:rPr>
          <w:color w:val="000000"/>
          <w:sz w:val="26"/>
          <w:szCs w:val="26"/>
          <w:lang w:val="de-DE"/>
        </w:rPr>
      </w:pPr>
      <w:r w:rsidRPr="006B3230">
        <w:rPr>
          <w:color w:val="000000"/>
          <w:sz w:val="26"/>
          <w:szCs w:val="26"/>
          <w:lang w:val="de-DE"/>
        </w:rPr>
        <w:t>Petent: Dr. Artiom Kovnatsky, Dahlmannstr. 17, 10629 Berlin</w:t>
      </w:r>
    </w:p>
    <w:p w14:paraId="36ED2E12" w14:textId="77777777" w:rsidR="001A0625" w:rsidRPr="006B3230" w:rsidRDefault="001A0625" w:rsidP="001A0625">
      <w:pPr>
        <w:pStyle w:val="Heading3"/>
        <w:keepNext w:val="0"/>
        <w:keepLines w:val="0"/>
        <w:spacing w:before="240" w:after="240"/>
        <w:rPr>
          <w:b/>
          <w:bCs/>
          <w:color w:val="000000"/>
          <w:sz w:val="26"/>
          <w:szCs w:val="26"/>
          <w:lang w:val="de-DE"/>
        </w:rPr>
      </w:pPr>
      <w:r w:rsidRPr="006B3230">
        <w:rPr>
          <w:b/>
          <w:bCs/>
          <w:color w:val="000000"/>
          <w:sz w:val="26"/>
          <w:szCs w:val="26"/>
          <w:lang w:val="de-DE"/>
        </w:rPr>
        <w:t>I. Anliegen</w:t>
      </w:r>
    </w:p>
    <w:p w14:paraId="440D351E" w14:textId="77777777" w:rsidR="001A0625" w:rsidRPr="006B3230" w:rsidRDefault="001A0625" w:rsidP="001A0625">
      <w:pPr>
        <w:pStyle w:val="Heading3"/>
        <w:keepNext w:val="0"/>
        <w:keepLines w:val="0"/>
        <w:spacing w:before="240" w:after="240"/>
        <w:rPr>
          <w:color w:val="000000"/>
          <w:sz w:val="26"/>
          <w:szCs w:val="26"/>
          <w:lang w:val="de-DE"/>
        </w:rPr>
      </w:pPr>
      <w:r w:rsidRPr="006B3230">
        <w:rPr>
          <w:color w:val="000000"/>
          <w:sz w:val="26"/>
          <w:szCs w:val="26"/>
          <w:lang w:val="de-DE"/>
        </w:rPr>
        <w:t xml:space="preserve">Ich bitte den Petitionsausschuss zu prüfen und darauf hinzuwirken, dass das Auswärtige Amt seine automatisierten Regeln zur Bearbeitung von Bürgereingaben (Anfragemanagementsystem FACIL) daraufhin überprüft, ob sie dem Grundsatz der Verhältnismäßigkeit genügen, wenn eine Eingabe einen </w:t>
      </w:r>
      <w:r w:rsidRPr="006B3230">
        <w:rPr>
          <w:b/>
          <w:bCs/>
          <w:color w:val="000000"/>
          <w:sz w:val="26"/>
          <w:szCs w:val="26"/>
          <w:lang w:val="de-DE"/>
        </w:rPr>
        <w:t>Hinweis auf eine schwerwiegende Menschenrechtsverletzung</w:t>
      </w:r>
      <w:r w:rsidRPr="006B3230">
        <w:rPr>
          <w:color w:val="000000"/>
          <w:sz w:val="26"/>
          <w:szCs w:val="26"/>
          <w:lang w:val="de-DE"/>
        </w:rPr>
        <w:t xml:space="preserve"> enthält. Konkret bitte ich um Klärung, ob es mit den Schutz- und Sorgfaltspflichten des Staates (Art. 1 Abs. 3 GG) vereinbar ist, dass sicherheits- bzw. menschenrechtsrelevante Eingaben durch dieselbe automatisierte Routine „ungelesen“ geschlossen werden wie thematisch beliebige Massenanfragen.</w:t>
      </w:r>
    </w:p>
    <w:p w14:paraId="49BB8BCD" w14:textId="77777777" w:rsidR="001A0625" w:rsidRPr="006B3230" w:rsidRDefault="001A0625" w:rsidP="001A0625">
      <w:pPr>
        <w:pStyle w:val="Heading3"/>
        <w:keepNext w:val="0"/>
        <w:keepLines w:val="0"/>
        <w:spacing w:before="240" w:after="240"/>
        <w:rPr>
          <w:b/>
          <w:bCs/>
          <w:color w:val="000000"/>
          <w:sz w:val="26"/>
          <w:szCs w:val="26"/>
          <w:lang w:val="de-DE"/>
        </w:rPr>
      </w:pPr>
      <w:r w:rsidRPr="006B3230">
        <w:rPr>
          <w:b/>
          <w:bCs/>
          <w:color w:val="000000"/>
          <w:sz w:val="26"/>
          <w:szCs w:val="26"/>
          <w:lang w:val="de-DE"/>
        </w:rPr>
        <w:t>II. Sachverhalt</w:t>
      </w:r>
    </w:p>
    <w:p w14:paraId="3AEF1163" w14:textId="77777777" w:rsidR="001A0625" w:rsidRPr="006B3230" w:rsidRDefault="001A0625" w:rsidP="001A0625">
      <w:pPr>
        <w:pStyle w:val="Heading3"/>
        <w:keepNext w:val="0"/>
        <w:keepLines w:val="0"/>
        <w:spacing w:before="240" w:after="240"/>
        <w:rPr>
          <w:b/>
          <w:bCs/>
          <w:color w:val="000000"/>
          <w:sz w:val="26"/>
          <w:szCs w:val="26"/>
          <w:lang w:val="de-DE"/>
        </w:rPr>
      </w:pPr>
      <w:r w:rsidRPr="006B3230">
        <w:rPr>
          <w:color w:val="000000"/>
          <w:sz w:val="26"/>
          <w:szCs w:val="26"/>
          <w:lang w:val="de-DE"/>
        </w:rPr>
        <w:t xml:space="preserve">Das Auswärtige Amt bearbeitet nach eigener Darstellung rund 260.000 Bürgeranfragen jährlich mit dem System FACIL. In der amtlichen Vorgangskorrespondenz zu meinem Vorgang (759bc4c4-387d-49e7-9e16-9a2b56c9da0e) heißt es wörtlich: </w:t>
      </w:r>
      <w:r w:rsidRPr="006B3230">
        <w:rPr>
          <w:b/>
          <w:bCs/>
          <w:color w:val="000000"/>
          <w:sz w:val="26"/>
          <w:szCs w:val="26"/>
          <w:lang w:val="de-DE"/>
        </w:rPr>
        <w:t>„Zur Bewältigung des hohen Aufkommens werden Bürgeranfragen zu vielen Themen nach Versand einer automatischen Antwort durch das System ungelesen geschlossen.“</w:t>
      </w:r>
    </w:p>
    <w:p w14:paraId="007ADB9C" w14:textId="77777777" w:rsidR="001A0625" w:rsidRPr="006B3230" w:rsidRDefault="001A0625" w:rsidP="001A0625">
      <w:pPr>
        <w:pStyle w:val="Heading3"/>
        <w:keepNext w:val="0"/>
        <w:keepLines w:val="0"/>
        <w:spacing w:before="240" w:after="240"/>
        <w:rPr>
          <w:color w:val="000000"/>
          <w:sz w:val="26"/>
          <w:szCs w:val="26"/>
          <w:lang w:val="de-DE"/>
        </w:rPr>
      </w:pPr>
      <w:r w:rsidRPr="006B3230">
        <w:rPr>
          <w:color w:val="000000"/>
          <w:sz w:val="26"/>
          <w:szCs w:val="26"/>
          <w:lang w:val="de-DE"/>
        </w:rPr>
        <w:t xml:space="preserve">Meine Eingabe enthielt einen konkreten, mit Ton- und Dokumentenmaterial belegten Hinweis auf die Zwangsrekrutierung und Inhaftierung eines Zivilisten. </w:t>
      </w:r>
      <w:r w:rsidRPr="006B3230">
        <w:rPr>
          <w:color w:val="000000"/>
          <w:sz w:val="26"/>
          <w:szCs w:val="26"/>
          <w:lang w:val="de-DE"/>
        </w:rPr>
        <w:lastRenderedPageBreak/>
        <w:t>Sie wurde gleichwohl im automatisierten Massenverfahren behandelt. Auf mein späteres Auskunftsersuchen teilte die Behörde mit, es lägen keine internen Analysen oder Vermerke vor, da derartige Anfragen routinemäßig ohne inhaltliche Bearbeitung geschlossen würden.</w:t>
      </w:r>
    </w:p>
    <w:p w14:paraId="04479E95" w14:textId="77777777" w:rsidR="001A0625" w:rsidRPr="006B3230" w:rsidRDefault="001A0625" w:rsidP="001A0625">
      <w:pPr>
        <w:pStyle w:val="Heading3"/>
        <w:keepNext w:val="0"/>
        <w:keepLines w:val="0"/>
        <w:spacing w:before="240" w:after="240"/>
        <w:rPr>
          <w:b/>
          <w:bCs/>
          <w:color w:val="000000"/>
          <w:sz w:val="26"/>
          <w:szCs w:val="26"/>
          <w:lang w:val="de-DE"/>
        </w:rPr>
      </w:pPr>
      <w:r w:rsidRPr="006B3230">
        <w:rPr>
          <w:b/>
          <w:bCs/>
          <w:color w:val="000000"/>
          <w:sz w:val="26"/>
          <w:szCs w:val="26"/>
          <w:lang w:val="de-DE"/>
        </w:rPr>
        <w:t>III. Die strukturelle Frage</w:t>
      </w:r>
    </w:p>
    <w:p w14:paraId="4A9B625E" w14:textId="77777777" w:rsidR="001A0625" w:rsidRPr="006B3230" w:rsidRDefault="001A0625" w:rsidP="001A0625">
      <w:pPr>
        <w:pStyle w:val="Heading3"/>
        <w:keepNext w:val="0"/>
        <w:keepLines w:val="0"/>
        <w:spacing w:before="240" w:after="240"/>
        <w:rPr>
          <w:color w:val="000000"/>
          <w:sz w:val="26"/>
          <w:szCs w:val="26"/>
          <w:lang w:val="de-DE"/>
        </w:rPr>
      </w:pPr>
      <w:r w:rsidRPr="006B3230">
        <w:rPr>
          <w:color w:val="000000"/>
          <w:sz w:val="26"/>
          <w:szCs w:val="26"/>
          <w:lang w:val="de-DE"/>
        </w:rPr>
        <w:t xml:space="preserve">Das Anliegen betrifft nicht den Einzelfall, sondern die </w:t>
      </w:r>
      <w:r w:rsidRPr="006B3230">
        <w:rPr>
          <w:b/>
          <w:bCs/>
          <w:color w:val="000000"/>
          <w:sz w:val="26"/>
          <w:szCs w:val="26"/>
          <w:lang w:val="de-DE"/>
        </w:rPr>
        <w:t>Regelarchitektur</w:t>
      </w:r>
      <w:r w:rsidRPr="006B3230">
        <w:rPr>
          <w:color w:val="000000"/>
          <w:sz w:val="26"/>
          <w:szCs w:val="26"/>
          <w:lang w:val="de-DE"/>
        </w:rPr>
        <w:t>: Ein Bearbeitungssystem, das nicht nach der inhaltlichen Schwere einer Eingabe differenziert, behandelt einen Hinweis auf eine mögliche schwere Menschenrechtsverletzung verfahrensmäßig gleich wie eine Broschürenanfrage. Der Grundsatz der Verhältnismäßigkeit verlangt jedoch, dass Art und Intensität der behördlichen Bearbeitung zum Gewicht des betroffenen Rechtsguts in einem angemessenen Verhältnis stehen. Wenn die automatisierte Standardroutine kritische Signale ohne Kenntnisnahme aussteuert, entsteht eine strukturelle Lücke in der Wahrnehmung staatlicher Schutz- und Sorgfaltspflichten.</w:t>
      </w:r>
    </w:p>
    <w:p w14:paraId="461983E0" w14:textId="77777777" w:rsidR="001A0625" w:rsidRPr="006B3230" w:rsidRDefault="001A0625" w:rsidP="001A0625">
      <w:pPr>
        <w:pStyle w:val="Heading3"/>
        <w:keepNext w:val="0"/>
        <w:keepLines w:val="0"/>
        <w:spacing w:before="240" w:after="240"/>
        <w:rPr>
          <w:color w:val="000000"/>
          <w:sz w:val="26"/>
          <w:szCs w:val="26"/>
          <w:lang w:val="de-DE"/>
        </w:rPr>
      </w:pPr>
      <w:r w:rsidRPr="006B3230">
        <w:rPr>
          <w:color w:val="000000"/>
          <w:sz w:val="26"/>
          <w:szCs w:val="26"/>
          <w:lang w:val="de-DE"/>
        </w:rPr>
        <w:t>Hinzu tritt die haushalterische Dimension: Öffentliche Mittel finanzieren ein System, dessen Ausgestaltung — automatische Schließung „ungelesen“ — die inhaltliche Befassung mit gerade den Eingaben verhindern kann, deren Bearbeitung im öffentlichen Interesse besonders geboten wäre.</w:t>
      </w:r>
    </w:p>
    <w:p w14:paraId="5BE50D27" w14:textId="77777777" w:rsidR="001A0625" w:rsidRDefault="001A0625" w:rsidP="001A0625">
      <w:pPr>
        <w:pStyle w:val="Heading3"/>
        <w:keepNext w:val="0"/>
        <w:keepLines w:val="0"/>
        <w:spacing w:before="240" w:after="240"/>
        <w:rPr>
          <w:b/>
          <w:bCs/>
          <w:color w:val="000000"/>
          <w:sz w:val="26"/>
          <w:szCs w:val="26"/>
        </w:rPr>
      </w:pPr>
      <w:r>
        <w:rPr>
          <w:b/>
          <w:bCs/>
          <w:color w:val="000000"/>
          <w:sz w:val="26"/>
          <w:szCs w:val="26"/>
        </w:rPr>
        <w:t xml:space="preserve">IV. Bitten </w:t>
      </w:r>
      <w:proofErr w:type="gramStart"/>
      <w:r>
        <w:rPr>
          <w:b/>
          <w:bCs/>
          <w:color w:val="000000"/>
          <w:sz w:val="26"/>
          <w:szCs w:val="26"/>
        </w:rPr>
        <w:t>an</w:t>
      </w:r>
      <w:proofErr w:type="gramEnd"/>
      <w:r>
        <w:rPr>
          <w:b/>
          <w:bCs/>
          <w:color w:val="000000"/>
          <w:sz w:val="26"/>
          <w:szCs w:val="26"/>
        </w:rPr>
        <w:t xml:space="preserve"> den Ausschuss</w:t>
      </w:r>
    </w:p>
    <w:p w14:paraId="7D3676C4" w14:textId="77777777" w:rsidR="001A0625" w:rsidRPr="006B3230" w:rsidRDefault="001A0625" w:rsidP="001A0625">
      <w:pPr>
        <w:pStyle w:val="Heading3"/>
        <w:keepNext w:val="0"/>
        <w:keepLines w:val="0"/>
        <w:numPr>
          <w:ilvl w:val="0"/>
          <w:numId w:val="1"/>
        </w:numPr>
        <w:tabs>
          <w:tab w:val="num" w:pos="360"/>
        </w:tabs>
        <w:spacing w:before="240" w:after="0"/>
        <w:ind w:left="0" w:firstLine="0"/>
        <w:rPr>
          <w:color w:val="000000"/>
          <w:sz w:val="26"/>
          <w:szCs w:val="26"/>
          <w:lang w:val="de-DE"/>
        </w:rPr>
      </w:pPr>
      <w:r w:rsidRPr="006B3230">
        <w:rPr>
          <w:color w:val="000000"/>
          <w:sz w:val="26"/>
          <w:szCs w:val="26"/>
          <w:lang w:val="de-DE"/>
        </w:rPr>
        <w:t>Aufklärung, nach welchen Kriterien FACIL Eingaben automatisiert schließt und ob eine inhaltssensitive Ausnahme für menschenrechts-, sicherheits- oder gefahrenrelevante Eingaben besteht.</w:t>
      </w:r>
    </w:p>
    <w:p w14:paraId="2D774919" w14:textId="77777777" w:rsidR="001A0625" w:rsidRPr="006B3230" w:rsidRDefault="001A0625" w:rsidP="001A0625">
      <w:pPr>
        <w:pStyle w:val="Heading3"/>
        <w:keepNext w:val="0"/>
        <w:keepLines w:val="0"/>
        <w:numPr>
          <w:ilvl w:val="0"/>
          <w:numId w:val="1"/>
        </w:numPr>
        <w:tabs>
          <w:tab w:val="num" w:pos="360"/>
        </w:tabs>
        <w:spacing w:before="0" w:after="0"/>
        <w:ind w:left="0" w:firstLine="0"/>
        <w:rPr>
          <w:color w:val="000000"/>
          <w:sz w:val="26"/>
          <w:szCs w:val="26"/>
          <w:lang w:val="de-DE"/>
        </w:rPr>
      </w:pPr>
      <w:r w:rsidRPr="006B3230">
        <w:rPr>
          <w:color w:val="000000"/>
          <w:sz w:val="26"/>
          <w:szCs w:val="26"/>
          <w:lang w:val="de-DE"/>
        </w:rPr>
        <w:t>Prüfung, ob diese Regelarchitektur mit Art. 1 Abs. 3 GG und den Sorgfaltspflichten des Auswärtigen Amts vereinbar ist.</w:t>
      </w:r>
    </w:p>
    <w:p w14:paraId="543BFC5A" w14:textId="77777777" w:rsidR="001A0625" w:rsidRPr="006B3230" w:rsidRDefault="001A0625" w:rsidP="001A0625">
      <w:pPr>
        <w:pStyle w:val="Heading3"/>
        <w:keepNext w:val="0"/>
        <w:keepLines w:val="0"/>
        <w:numPr>
          <w:ilvl w:val="0"/>
          <w:numId w:val="1"/>
        </w:numPr>
        <w:tabs>
          <w:tab w:val="num" w:pos="360"/>
        </w:tabs>
        <w:spacing w:before="0" w:after="0"/>
        <w:ind w:left="0" w:firstLine="0"/>
        <w:rPr>
          <w:color w:val="000000"/>
          <w:sz w:val="26"/>
          <w:szCs w:val="26"/>
          <w:lang w:val="de-DE"/>
        </w:rPr>
      </w:pPr>
      <w:r w:rsidRPr="006B3230">
        <w:rPr>
          <w:color w:val="000000"/>
          <w:sz w:val="26"/>
          <w:szCs w:val="26"/>
          <w:lang w:val="de-DE"/>
        </w:rPr>
        <w:t>Hinwirkung auf eine verhältnismäßige Ausgestaltung: verbindliche Eskalations-/Kenntnisnahmepflicht bei Eingaben mit Hinweisen auf schwerwiegende Rechtsgutsverletzungen, bevor eine automatische Schließung erfolgt.</w:t>
      </w:r>
    </w:p>
    <w:p w14:paraId="1C4CF259" w14:textId="77777777" w:rsidR="001A0625" w:rsidRPr="006B3230" w:rsidRDefault="001A0625" w:rsidP="001A0625">
      <w:pPr>
        <w:pStyle w:val="Heading3"/>
        <w:keepNext w:val="0"/>
        <w:keepLines w:val="0"/>
        <w:numPr>
          <w:ilvl w:val="0"/>
          <w:numId w:val="1"/>
        </w:numPr>
        <w:tabs>
          <w:tab w:val="num" w:pos="360"/>
        </w:tabs>
        <w:spacing w:before="0" w:after="240"/>
        <w:ind w:left="0" w:firstLine="0"/>
        <w:rPr>
          <w:color w:val="000000"/>
          <w:sz w:val="26"/>
          <w:szCs w:val="26"/>
          <w:lang w:val="de-DE"/>
        </w:rPr>
      </w:pPr>
      <w:r w:rsidRPr="006B3230">
        <w:rPr>
          <w:color w:val="000000"/>
          <w:sz w:val="26"/>
          <w:szCs w:val="26"/>
          <w:lang w:val="de-DE"/>
        </w:rPr>
        <w:t>Mitteilung, ob und wie die Bearbeitung solcher Eingaben künftig dokumentiert wird.</w:t>
      </w:r>
    </w:p>
    <w:p w14:paraId="4EF9F827" w14:textId="77777777" w:rsidR="001A0625" w:rsidRPr="006B3230" w:rsidRDefault="001A0625" w:rsidP="001A0625">
      <w:pPr>
        <w:pStyle w:val="Heading3"/>
        <w:keepNext w:val="0"/>
        <w:keepLines w:val="0"/>
        <w:spacing w:before="240" w:after="240"/>
        <w:rPr>
          <w:color w:val="000000"/>
          <w:sz w:val="26"/>
          <w:szCs w:val="26"/>
          <w:lang w:val="de-DE"/>
        </w:rPr>
      </w:pPr>
      <w:r w:rsidRPr="006B3230">
        <w:rPr>
          <w:color w:val="000000"/>
          <w:sz w:val="26"/>
          <w:szCs w:val="26"/>
          <w:lang w:val="de-DE"/>
        </w:rPr>
        <w:t>Ich bitte um Bestätigung des Eingangs und Zuteilung eines Aktenzeichens.</w:t>
      </w:r>
    </w:p>
    <w:p w14:paraId="66B1D65E" w14:textId="77777777" w:rsidR="001A0625" w:rsidRPr="006B3230" w:rsidRDefault="001A0625" w:rsidP="001A0625">
      <w:pPr>
        <w:pStyle w:val="Heading3"/>
        <w:keepNext w:val="0"/>
        <w:keepLines w:val="0"/>
        <w:spacing w:before="240" w:after="240"/>
        <w:rPr>
          <w:color w:val="000000"/>
          <w:sz w:val="26"/>
          <w:szCs w:val="26"/>
          <w:lang w:val="ru-RU"/>
        </w:rPr>
      </w:pPr>
      <w:r>
        <w:rPr>
          <w:color w:val="000000"/>
          <w:sz w:val="26"/>
          <w:szCs w:val="26"/>
        </w:rPr>
        <w:t>Dr</w:t>
      </w:r>
      <w:r w:rsidRPr="006B3230">
        <w:rPr>
          <w:color w:val="000000"/>
          <w:sz w:val="26"/>
          <w:szCs w:val="26"/>
          <w:lang w:val="ru-RU"/>
        </w:rPr>
        <w:t xml:space="preserve">. </w:t>
      </w:r>
      <w:r>
        <w:rPr>
          <w:color w:val="000000"/>
          <w:sz w:val="26"/>
          <w:szCs w:val="26"/>
        </w:rPr>
        <w:t>Artiom</w:t>
      </w:r>
      <w:r w:rsidRPr="006B3230">
        <w:rPr>
          <w:color w:val="000000"/>
          <w:sz w:val="26"/>
          <w:szCs w:val="26"/>
          <w:lang w:val="ru-RU"/>
        </w:rPr>
        <w:t xml:space="preserve"> </w:t>
      </w:r>
      <w:r>
        <w:rPr>
          <w:color w:val="000000"/>
          <w:sz w:val="26"/>
          <w:szCs w:val="26"/>
        </w:rPr>
        <w:t>Kovnatsky</w:t>
      </w:r>
    </w:p>
    <w:p w14:paraId="4F79CB0F" w14:textId="77777777" w:rsidR="001A0625" w:rsidRDefault="001A0625" w:rsidP="001A0625">
      <w:pPr>
        <w:pStyle w:val="Heading3"/>
        <w:keepNext w:val="0"/>
        <w:keepLines w:val="0"/>
        <w:spacing w:before="240" w:after="240"/>
        <w:ind w:left="600" w:right="600"/>
        <w:rPr>
          <w:color w:val="000000"/>
          <w:sz w:val="26"/>
          <w:szCs w:val="26"/>
        </w:rPr>
      </w:pPr>
      <w:bookmarkStart w:id="0" w:name="_xok4digfn9vo" w:colFirst="0" w:colLast="0"/>
      <w:bookmarkEnd w:id="0"/>
      <w:r w:rsidRPr="006B3230">
        <w:rPr>
          <w:b/>
          <w:bCs/>
          <w:color w:val="000000"/>
          <w:sz w:val="26"/>
          <w:szCs w:val="26"/>
          <w:lang w:val="ru-RU"/>
        </w:rPr>
        <w:t>Пояснение.</w:t>
      </w:r>
      <w:r w:rsidRPr="006B3230">
        <w:rPr>
          <w:color w:val="000000"/>
          <w:sz w:val="26"/>
          <w:szCs w:val="26"/>
          <w:lang w:val="ru-RU"/>
        </w:rPr>
        <w:t xml:space="preserve"> </w:t>
      </w:r>
      <w:r>
        <w:rPr>
          <w:color w:val="000000"/>
          <w:sz w:val="26"/>
          <w:szCs w:val="26"/>
        </w:rPr>
        <w:t>Petitionsausschuss</w:t>
      </w:r>
      <w:r w:rsidRPr="006B3230">
        <w:rPr>
          <w:color w:val="000000"/>
          <w:sz w:val="26"/>
          <w:szCs w:val="26"/>
          <w:lang w:val="ru-RU"/>
        </w:rPr>
        <w:t xml:space="preserve"> — единственный форум, </w:t>
      </w:r>
      <w:r w:rsidRPr="006B3230">
        <w:rPr>
          <w:i/>
          <w:iCs/>
          <w:color w:val="000000"/>
          <w:sz w:val="26"/>
          <w:szCs w:val="26"/>
          <w:lang w:val="ru-RU"/>
        </w:rPr>
        <w:t>обязанный</w:t>
      </w:r>
      <w:r w:rsidRPr="006B3230">
        <w:rPr>
          <w:color w:val="000000"/>
          <w:sz w:val="26"/>
          <w:szCs w:val="26"/>
          <w:lang w:val="ru-RU"/>
        </w:rPr>
        <w:t xml:space="preserve"> содержательно ответить (</w:t>
      </w:r>
      <w:r>
        <w:rPr>
          <w:color w:val="000000"/>
          <w:sz w:val="26"/>
          <w:szCs w:val="26"/>
        </w:rPr>
        <w:t>Art</w:t>
      </w:r>
      <w:r w:rsidRPr="006B3230">
        <w:rPr>
          <w:color w:val="000000"/>
          <w:sz w:val="26"/>
          <w:szCs w:val="26"/>
          <w:lang w:val="ru-RU"/>
        </w:rPr>
        <w:t xml:space="preserve">. 17 </w:t>
      </w:r>
      <w:r>
        <w:rPr>
          <w:color w:val="000000"/>
          <w:sz w:val="26"/>
          <w:szCs w:val="26"/>
        </w:rPr>
        <w:t>GG</w:t>
      </w:r>
      <w:r w:rsidRPr="006B3230">
        <w:rPr>
          <w:color w:val="000000"/>
          <w:sz w:val="26"/>
          <w:szCs w:val="26"/>
          <w:lang w:val="ru-RU"/>
        </w:rPr>
        <w:t xml:space="preserve">), и он </w:t>
      </w:r>
      <w:r w:rsidRPr="006B3230">
        <w:rPr>
          <w:color w:val="000000"/>
          <w:sz w:val="26"/>
          <w:szCs w:val="26"/>
          <w:lang w:val="ru-RU"/>
        </w:rPr>
        <w:lastRenderedPageBreak/>
        <w:t>публичный. Ядро — соразмерность (</w:t>
      </w:r>
      <w:r>
        <w:rPr>
          <w:color w:val="000000"/>
          <w:sz w:val="26"/>
          <w:szCs w:val="26"/>
        </w:rPr>
        <w:t>Verh</w:t>
      </w:r>
      <w:r w:rsidRPr="006B3230">
        <w:rPr>
          <w:color w:val="000000"/>
          <w:sz w:val="26"/>
          <w:szCs w:val="26"/>
          <w:lang w:val="ru-RU"/>
        </w:rPr>
        <w:t>ä</w:t>
      </w:r>
      <w:r>
        <w:rPr>
          <w:color w:val="000000"/>
          <w:sz w:val="26"/>
          <w:szCs w:val="26"/>
        </w:rPr>
        <w:t>ltnism</w:t>
      </w:r>
      <w:r w:rsidRPr="006B3230">
        <w:rPr>
          <w:color w:val="000000"/>
          <w:sz w:val="26"/>
          <w:szCs w:val="26"/>
          <w:lang w:val="ru-RU"/>
        </w:rPr>
        <w:t>äß</w:t>
      </w:r>
      <w:r>
        <w:rPr>
          <w:color w:val="000000"/>
          <w:sz w:val="26"/>
          <w:szCs w:val="26"/>
        </w:rPr>
        <w:t>igkeit</w:t>
      </w:r>
      <w:r w:rsidRPr="006B3230">
        <w:rPr>
          <w:color w:val="000000"/>
          <w:sz w:val="26"/>
          <w:szCs w:val="26"/>
          <w:lang w:val="ru-RU"/>
        </w:rPr>
        <w:t>): «система не отличает сигнал о правах человека от запроса буклета». Налоговый угол — один абзац (</w:t>
      </w:r>
      <w:r>
        <w:rPr>
          <w:color w:val="000000"/>
          <w:sz w:val="26"/>
          <w:szCs w:val="26"/>
        </w:rPr>
        <w:t>III</w:t>
      </w:r>
      <w:r w:rsidRPr="006B3230">
        <w:rPr>
          <w:color w:val="000000"/>
          <w:sz w:val="26"/>
          <w:szCs w:val="26"/>
          <w:lang w:val="ru-RU"/>
        </w:rPr>
        <w:t xml:space="preserve">), не ядро; так весит больше. Требование №3 — конкретное и выполнимое (обязательная эскалация до автозакрытия), а не «признайте вину». </w:t>
      </w:r>
      <w:r>
        <w:rPr>
          <w:color w:val="000000"/>
          <w:sz w:val="26"/>
          <w:szCs w:val="26"/>
        </w:rPr>
        <w:t>Конкретное требование труднее отписать.</w:t>
      </w:r>
    </w:p>
    <w:p w14:paraId="72B4E4CD" w14:textId="77777777" w:rsidR="00785F35" w:rsidRDefault="00785F35"/>
    <w:sectPr w:rsidR="00785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F49E6"/>
    <w:multiLevelType w:val="multilevel"/>
    <w:tmpl w:val="758043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625"/>
    <w:rsid w:val="001A0625"/>
    <w:rsid w:val="00785F35"/>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F9C89"/>
  <w15:chartTrackingRefBased/>
  <w15:docId w15:val="{05991322-6826-9540-901A-74EBFF3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3">
    <w:name w:val="heading 3"/>
    <w:basedOn w:val="Normal"/>
    <w:next w:val="Normal"/>
    <w:link w:val="Heading3Char"/>
    <w:uiPriority w:val="9"/>
    <w:unhideWhenUsed/>
    <w:qFormat/>
    <w:rsid w:val="001A0625"/>
    <w:pPr>
      <w:keepNext/>
      <w:keepLines/>
      <w:spacing w:before="320" w:after="80" w:line="276" w:lineRule="auto"/>
      <w:outlineLvl w:val="2"/>
    </w:pPr>
    <w:rPr>
      <w:rFonts w:ascii="Arial" w:eastAsia="Arial" w:hAnsi="Arial" w:cs="Arial"/>
      <w:color w:val="434343"/>
      <w:sz w:val="28"/>
      <w:szCs w:val="28"/>
      <w:lang w:val="e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A0625"/>
    <w:rPr>
      <w:rFonts w:ascii="Arial" w:eastAsia="Arial" w:hAnsi="Arial" w:cs="Arial"/>
      <w:color w:val="434343"/>
      <w:sz w:val="28"/>
      <w:szCs w:val="28"/>
      <w:lang w:val="e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2026-07-07T09:09:00Z</dcterms:created>
  <dcterms:modified xsi:type="dcterms:W3CDTF">2026-07-07T09:09:00Z</dcterms:modified>
</cp:coreProperties>
</file>