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2E0EF" w14:textId="77777777" w:rsidR="00340D32" w:rsidRDefault="00F40B11">
      <w:pPr>
        <w:spacing w:line="264" w:lineRule="auto"/>
      </w:pPr>
      <w:r>
        <w:t>Dr. Artiom A. Kovnatsky, Dahlmannstraße 17, 10629 Berlin</w:t>
      </w:r>
    </w:p>
    <w:p w14:paraId="01AC1EC0" w14:textId="77777777" w:rsidR="00340D32" w:rsidRDefault="00F40B11">
      <w:pPr>
        <w:spacing w:after="150" w:line="264" w:lineRule="auto"/>
      </w:pPr>
      <w:r>
        <w:t>artiom.kovnatsky@gmail.com | +49 176 30162834</w:t>
      </w:r>
    </w:p>
    <w:p w14:paraId="43244AD8" w14:textId="77777777" w:rsidR="00340D32" w:rsidRDefault="00F40B11">
      <w:pPr>
        <w:spacing w:line="264" w:lineRule="auto"/>
      </w:pPr>
      <w:r>
        <w:rPr>
          <w:b/>
          <w:bCs/>
        </w:rPr>
        <w:t>An das Verwaltungsgeri</w:t>
      </w:r>
      <w:r>
        <w:rPr>
          <w:b/>
          <w:bCs/>
        </w:rPr>
        <w:t>cht Berlin – 2. Kammer</w:t>
      </w:r>
    </w:p>
    <w:p w14:paraId="625828EB" w14:textId="77777777" w:rsidR="00340D32" w:rsidRDefault="00F40B11">
      <w:pPr>
        <w:spacing w:after="150" w:line="264" w:lineRule="auto"/>
      </w:pPr>
      <w:r>
        <w:t>Kirchstraße 7, 10557 Berlin – vorab per Fax: 030 9014-8790</w:t>
      </w:r>
    </w:p>
    <w:p w14:paraId="6B26B827" w14:textId="77777777" w:rsidR="00340D32" w:rsidRDefault="00F40B11">
      <w:pPr>
        <w:spacing w:after="40" w:line="264" w:lineRule="auto"/>
      </w:pPr>
      <w:r>
        <w:t>Berlin, den 12. Juli 2026</w:t>
      </w:r>
    </w:p>
    <w:p w14:paraId="4773A8E1" w14:textId="77777777" w:rsidR="00340D32" w:rsidRDefault="00F40B11">
      <w:pPr>
        <w:spacing w:after="40" w:line="264" w:lineRule="auto"/>
      </w:pPr>
      <w:r>
        <w:rPr>
          <w:b/>
          <w:bCs/>
        </w:rPr>
        <w:t xml:space="preserve">Az.: </w:t>
      </w:r>
      <w:r>
        <w:t>VG 2 K 202/26 (Hauptsache) und VG 2 L 201/26 (Eilverfahren)</w:t>
      </w:r>
    </w:p>
    <w:p w14:paraId="3B228B31" w14:textId="77777777" w:rsidR="00340D32" w:rsidRDefault="00F40B11">
      <w:pPr>
        <w:spacing w:after="150" w:line="264" w:lineRule="auto"/>
      </w:pPr>
      <w:r>
        <w:t>In der Verwaltungsstreitsache Dr. Kovnatsky ./. Bundesrepublik Deutschland</w:t>
      </w:r>
    </w:p>
    <w:p w14:paraId="3742AD45" w14:textId="77777777" w:rsidR="00340D32" w:rsidRDefault="00F40B11">
      <w:pPr>
        <w:spacing w:after="90" w:line="264" w:lineRule="auto"/>
      </w:pPr>
      <w:r>
        <w:t>Sehr geehrte Damen und Herren,</w:t>
      </w:r>
    </w:p>
    <w:p w14:paraId="13FDFB13" w14:textId="77777777" w:rsidR="00340D32" w:rsidRDefault="00F40B11">
      <w:pPr>
        <w:spacing w:after="130" w:line="264" w:lineRule="auto"/>
      </w:pPr>
      <w:r>
        <w:t>ich nehme Bezug auf die gerichtlichen Schreiben vom 26.06.2026 (Eingangsbestätigung, vorläufige Streitwertfestsetzung, Erwägung der Übertragung auf de</w:t>
      </w:r>
      <w:r>
        <w:t>n Einzelrichter/die Einzelrichterin) und vom 06.07.2026 (Übersendung der Stellungnahme der Antragsgegnerin vom 02.07.2026) sowie auf meine Erklärungen vom 08./09.07.2026. Der vorläufigen Streitwertfestsetzung und der erwogenen Übertragung auf den Einzelric</w:t>
      </w:r>
      <w:r>
        <w:t>hter/die Einzelrichterin widerspreche ich nicht.</w:t>
      </w:r>
    </w:p>
    <w:p w14:paraId="1195B490" w14:textId="77777777" w:rsidR="00340D32" w:rsidRDefault="00F40B11">
      <w:pPr>
        <w:pStyle w:val="Heading2"/>
      </w:pPr>
      <w:r>
        <w:t>1. Bestätigung der Erklärungen zum Eilverfahren und zur Einreichung vom 07.07.2026</w:t>
      </w:r>
    </w:p>
    <w:p w14:paraId="373CB5AE" w14:textId="77777777" w:rsidR="00340D32" w:rsidRDefault="00F40B11">
      <w:pPr>
        <w:spacing w:after="130" w:line="264" w:lineRule="auto"/>
      </w:pPr>
      <w:r>
        <w:t>Ich bestätige ausdrücklich und unbedingt:</w:t>
      </w:r>
    </w:p>
    <w:p w14:paraId="2F12A4FC" w14:textId="77777777" w:rsidR="00340D32" w:rsidRDefault="00F40B11">
      <w:pPr>
        <w:pStyle w:val="ListParagraph"/>
        <w:numPr>
          <w:ilvl w:val="0"/>
          <w:numId w:val="2"/>
        </w:numPr>
        <w:spacing w:after="90" w:line="260" w:lineRule="auto"/>
      </w:pPr>
      <w:r>
        <w:t xml:space="preserve">die Erledigterklärung des Eilverfahrens VG 2 L 201/26 in der Hauptsache, gestützt </w:t>
      </w:r>
      <w:r>
        <w:t>auf die Zusicherung der Antragsgegnerin vom 02.07.2026, keine zum Vorgang 759bc4c4 vorhandenen amtlichen Informationen vor der Entscheidung in der Hauptsache zu löschen;</w:t>
      </w:r>
    </w:p>
    <w:p w14:paraId="79502A0A" w14:textId="77777777" w:rsidR="00340D32" w:rsidRDefault="00F40B11">
      <w:pPr>
        <w:pStyle w:val="ListParagraph"/>
        <w:numPr>
          <w:ilvl w:val="0"/>
          <w:numId w:val="2"/>
        </w:numPr>
        <w:spacing w:after="90" w:line="260" w:lineRule="auto"/>
      </w:pPr>
      <w:r>
        <w:t xml:space="preserve">den Antrag, der Antragsgegnerin die Kosten des Eilverfahrens aufzuerlegen (§ 161 Abs. </w:t>
      </w:r>
      <w:r>
        <w:t>2 VwGO);</w:t>
      </w:r>
    </w:p>
    <w:p w14:paraId="1369C150" w14:textId="77777777" w:rsidR="00340D32" w:rsidRDefault="00F40B11">
      <w:pPr>
        <w:pStyle w:val="ListParagraph"/>
        <w:numPr>
          <w:ilvl w:val="0"/>
          <w:numId w:val="2"/>
        </w:numPr>
        <w:spacing w:after="90" w:line="260" w:lineRule="auto"/>
      </w:pPr>
      <w:r>
        <w:t>die Rücknahme der am 07.07.2026 eingereichten, denselben Gegenstand betreffenden Klageschrift (§ 92 VwGO).</w:t>
      </w:r>
    </w:p>
    <w:p w14:paraId="5B29E151" w14:textId="77777777" w:rsidR="00340D32" w:rsidRDefault="00F40B11">
      <w:pPr>
        <w:spacing w:after="130" w:line="264" w:lineRule="auto"/>
      </w:pPr>
      <w:r>
        <w:t xml:space="preserve">Diese Erklärungen sind an keine Bedingungen geknüpft. Die nachfolgenden Ziffern 2 bis 5 betreffen ausschließlich das Hauptsacheverfahren VG </w:t>
      </w:r>
      <w:r>
        <w:t>2 K 202/26.</w:t>
      </w:r>
    </w:p>
    <w:p w14:paraId="70B5D6A9" w14:textId="77777777" w:rsidR="00340D32" w:rsidRDefault="00F40B11">
      <w:pPr>
        <w:pStyle w:val="Heading2"/>
      </w:pPr>
      <w:r>
        <w:t>2. Widerspruch innerhalb der Stellungnahme der Beklagten vom 02.07.2026</w:t>
      </w:r>
    </w:p>
    <w:p w14:paraId="0AF9035D" w14:textId="77777777" w:rsidR="00340D32" w:rsidRDefault="00F40B11">
      <w:pPr>
        <w:spacing w:after="130" w:line="264" w:lineRule="auto"/>
      </w:pPr>
      <w:r>
        <w:t>Die Beklagte führt unter Ziffer I. aus, sie verfüge über „keine antragsgegenständlichen amtlichen Informationen, die sie nicht bereits zugänglich gemacht hat“, sichert im s</w:t>
      </w:r>
      <w:r>
        <w:t>elben Absatz jedoch zu, „keine zum Vorgang 759bc4c4 vorhandenen amtlichen Informationen“ vor der Entscheidung in der Hauptsache zu löschen. Eine Erhaltungszusage setzt begrifflich das Vorhandensein solcher Informationen voraus. Ich rege an, diesen Widerspr</w:t>
      </w:r>
      <w:r>
        <w:t>uch im Rahmen der Sachaufklärung (§ 86 Abs. 1 VwGO) im Hauptsacheverfahren zu berücksichtigen.</w:t>
      </w:r>
    </w:p>
    <w:p w14:paraId="0E02C4E7" w14:textId="77777777" w:rsidR="00340D32" w:rsidRDefault="00F40B11">
      <w:pPr>
        <w:pStyle w:val="Heading2"/>
      </w:pPr>
      <w:r>
        <w:t>3. Auskunftsersuchen nach Art. 15 DSGVO – Kontext für die Sachaufklärung</w:t>
      </w:r>
    </w:p>
    <w:p w14:paraId="1B489BA6" w14:textId="77777777" w:rsidR="00340D32" w:rsidRDefault="00F40B11">
      <w:pPr>
        <w:spacing w:after="130" w:line="264" w:lineRule="auto"/>
      </w:pPr>
      <w:r>
        <w:t>Als Anlagen lege ich vor:</w:t>
      </w:r>
    </w:p>
    <w:p w14:paraId="4B87FEF4" w14:textId="77777777" w:rsidR="00340D32" w:rsidRDefault="00F40B11">
      <w:pPr>
        <w:spacing w:after="110" w:line="264" w:lineRule="auto"/>
        <w:ind w:left="540" w:hanging="540"/>
      </w:pPr>
      <w:r>
        <w:rPr>
          <w:b/>
          <w:bCs/>
        </w:rPr>
        <w:t xml:space="preserve">Anlage 1:  </w:t>
      </w:r>
      <w:r>
        <w:t>Auskunftsersuchen nach Art. 15 DSGVO vom 08.06.2026</w:t>
      </w:r>
      <w:r>
        <w:t xml:space="preserve"> (Vorgang 759bc4c4-387d-49e7-9e16-9a2b56c9da0e; Gz. 505-S11.03 IFG 123-2026);</w:t>
      </w:r>
    </w:p>
    <w:p w14:paraId="3B4CB3B4" w14:textId="77777777" w:rsidR="00340D32" w:rsidRDefault="00F40B11">
      <w:pPr>
        <w:spacing w:after="110" w:line="264" w:lineRule="auto"/>
        <w:ind w:left="540" w:hanging="540"/>
      </w:pPr>
      <w:r>
        <w:rPr>
          <w:b/>
          <w:bCs/>
        </w:rPr>
        <w:t xml:space="preserve">Anlage 2:  </w:t>
      </w:r>
      <w:r>
        <w:t>Präzisierung und Nachfassung vom 07.07.2026 zum selben Ersuchen;</w:t>
      </w:r>
    </w:p>
    <w:p w14:paraId="0896CACC" w14:textId="77777777" w:rsidR="00340D32" w:rsidRDefault="00F40B11">
      <w:pPr>
        <w:spacing w:after="110" w:line="264" w:lineRule="auto"/>
        <w:ind w:left="540" w:hanging="540"/>
      </w:pPr>
      <w:r>
        <w:rPr>
          <w:b/>
          <w:bCs/>
        </w:rPr>
        <w:t xml:space="preserve">Anlage 3:  </w:t>
      </w:r>
      <w:r>
        <w:t>Fristsetzungsschreiben vom 07.07.2026 mit Hinweis auf den Fristablauf am 08.07.2026 (Art. 1</w:t>
      </w:r>
      <w:r>
        <w:t>2 Abs. 3 DSGVO);</w:t>
      </w:r>
    </w:p>
    <w:p w14:paraId="1BEEB5C0" w14:textId="77777777" w:rsidR="00340D32" w:rsidRDefault="00F40B11">
      <w:pPr>
        <w:spacing w:after="110" w:line="264" w:lineRule="auto"/>
        <w:ind w:left="540" w:hanging="540"/>
      </w:pPr>
      <w:r>
        <w:rPr>
          <w:b/>
          <w:bCs/>
        </w:rPr>
        <w:t xml:space="preserve">Anlage 4:  </w:t>
      </w:r>
      <w:r>
        <w:t>automatisierte Antwort der Beklagten vom 07.07.2026 unter neu vergebenem Ticket 7b3d3e3c-17b5-49f7-836b-2c477eb1e292, ohne inhaltlichen Bezug zum Ersuchen.</w:t>
      </w:r>
    </w:p>
    <w:p w14:paraId="2FBF3EB9" w14:textId="77777777" w:rsidR="00340D32" w:rsidRDefault="00F40B11">
      <w:pPr>
        <w:spacing w:after="130" w:line="264" w:lineRule="auto"/>
      </w:pPr>
      <w:r>
        <w:lastRenderedPageBreak/>
        <w:t>Die Monatsfrist des Art. 12 Abs. 3 DSGVO für das Ersuchen vom 08.06.2026</w:t>
      </w:r>
      <w:r>
        <w:t xml:space="preserve"> ist am 08.07.2026 verstrichen – ohne Auskunft, ohne Fristverlängerung und ohne Begründung. Die einzige Reaktion der Beklagten bestand in der automatisierten Antwort gemäß Anlage 4.</w:t>
      </w:r>
    </w:p>
    <w:p w14:paraId="56D60CFB" w14:textId="77777777" w:rsidR="00340D32" w:rsidRDefault="00F40B11">
      <w:pPr>
        <w:spacing w:after="130" w:line="264" w:lineRule="auto"/>
      </w:pPr>
      <w:r>
        <w:t>Dieser Umstand wird im vorliegenden Verfahren nicht als eigener Streitgege</w:t>
      </w:r>
      <w:r>
        <w:t xml:space="preserve">nstand geltend gemacht; er ist jedoch für die Sachaufklärung von Bedeutung: Er deutet darauf hin, dass die automatisierte Eingangsbehandlung der Beklagten auch förmliche Rechtsersuchen mit gesetzlicher Frist inhaltsblind erfasst. Das datenschutzrechtliche </w:t>
      </w:r>
      <w:r>
        <w:t>Aufsichtsverfahren habe ich am 12.07.2026 beim Bundesbeauftragten für den Datenschutz und die Informationsfreiheit eingeleitet (Az. DI3-722/002 II#0517, Dok. 66247/2026).</w:t>
      </w:r>
    </w:p>
    <w:p w14:paraId="6CBCE7DA" w14:textId="77777777" w:rsidR="00340D32" w:rsidRDefault="00F40B11">
      <w:pPr>
        <w:pStyle w:val="Heading2"/>
      </w:pPr>
      <w:r>
        <w:t>4. Vorschau: aufklärungsbedürftige Punkte der Klagebegründung</w:t>
      </w:r>
    </w:p>
    <w:p w14:paraId="26177AE7" w14:textId="77777777" w:rsidR="00340D32" w:rsidRDefault="00F40B11">
      <w:pPr>
        <w:spacing w:after="130" w:line="264" w:lineRule="auto"/>
      </w:pPr>
      <w:r>
        <w:t xml:space="preserve">Ohne der angekündigten </w:t>
      </w:r>
      <w:r>
        <w:t>Klagebegründung vorzugreifen, weise ich auf folgende Punkte hin, die dort weiterverfolgt werden:</w:t>
      </w:r>
    </w:p>
    <w:p w14:paraId="6DD2A830" w14:textId="77777777" w:rsidR="00340D32" w:rsidRDefault="00F40B11">
      <w:pPr>
        <w:spacing w:after="110" w:line="264" w:lineRule="auto"/>
        <w:ind w:left="540" w:hanging="540"/>
      </w:pPr>
      <w:r>
        <w:rPr>
          <w:b/>
          <w:bCs/>
        </w:rPr>
        <w:t xml:space="preserve">1.  </w:t>
      </w:r>
      <w:r>
        <w:t>Zugang zu den vorhandenen Protokoll-/Log-, Routing- und Statusdaten des Vorgangs 759bc4c4 sowie zu der Regel-/Kriteriendokumentation der automatisierten Sc</w:t>
      </w:r>
      <w:r>
        <w:t>hließung (Gegenstand der künftigen Neufassung der Klageanträge);</w:t>
      </w:r>
    </w:p>
    <w:p w14:paraId="458B2316" w14:textId="77777777" w:rsidR="00340D32" w:rsidRDefault="00F40B11">
      <w:pPr>
        <w:spacing w:after="110" w:line="264" w:lineRule="auto"/>
        <w:ind w:left="540" w:hanging="540"/>
      </w:pPr>
      <w:r>
        <w:rPr>
          <w:b/>
          <w:bCs/>
        </w:rPr>
        <w:t xml:space="preserve">2.  </w:t>
      </w:r>
      <w:r>
        <w:t>eine dokumentbezogene Übersicht, ob die übermittelten Unterlagen durch Bedienstete gesichtet oder ausschließlich automatisiert verarbeitet wurden, soweit hierüber Aufzeichnungen bei der Beklagten vorliegen;</w:t>
      </w:r>
    </w:p>
    <w:p w14:paraId="05CDE155" w14:textId="77777777" w:rsidR="00340D32" w:rsidRDefault="00F40B11">
      <w:pPr>
        <w:spacing w:after="110" w:line="264" w:lineRule="auto"/>
        <w:ind w:left="540" w:hanging="540"/>
      </w:pPr>
      <w:r>
        <w:rPr>
          <w:b/>
          <w:bCs/>
        </w:rPr>
        <w:t xml:space="preserve">3.  </w:t>
      </w:r>
      <w:r>
        <w:t>Bedeutung und Vergabekriterien der Kennzeichn</w:t>
      </w:r>
      <w:r>
        <w:t>ung „privileged“ in der Vorgangsdokumentation;</w:t>
      </w:r>
    </w:p>
    <w:p w14:paraId="464A214B" w14:textId="77777777" w:rsidR="00340D32" w:rsidRDefault="00F40B11">
      <w:pPr>
        <w:spacing w:after="110" w:line="264" w:lineRule="auto"/>
        <w:ind w:left="540" w:hanging="540"/>
      </w:pPr>
      <w:r>
        <w:rPr>
          <w:b/>
          <w:bCs/>
        </w:rPr>
        <w:t xml:space="preserve">4.  </w:t>
      </w:r>
      <w:r>
        <w:t xml:space="preserve">eine dienstliche Erklärung der Beklagten über die Vollständigkeit der vorgelegten Verwaltungsvorgänge bzw. darüber, dass über die vorgelegten Unterlagen hinaus keine antragsgegenständlichen Aufzeichnungen </w:t>
      </w:r>
      <w:r>
        <w:t>existieren.</w:t>
      </w:r>
    </w:p>
    <w:p w14:paraId="24EC028E" w14:textId="77777777" w:rsidR="00340D32" w:rsidRDefault="00F40B11">
      <w:pPr>
        <w:spacing w:after="130" w:line="264" w:lineRule="auto"/>
      </w:pPr>
      <w:r>
        <w:t>Auf die Pflicht zur vollständigen Vorlage der Verwaltungsvorgänge (§ 99 Abs. 1 Satz 1 VwGO) wird hingewiesen.</w:t>
      </w:r>
    </w:p>
    <w:p w14:paraId="0D2ABFEE" w14:textId="77777777" w:rsidR="00340D32" w:rsidRDefault="00F40B11">
      <w:pPr>
        <w:pStyle w:val="Heading2"/>
      </w:pPr>
      <w:r>
        <w:t>5. Parallele Verfahren (nachrichtlich); datenschutzrechtliche Einwilligung</w:t>
      </w:r>
    </w:p>
    <w:p w14:paraId="3C11C5BC" w14:textId="77777777" w:rsidR="00340D32" w:rsidRDefault="00F40B11">
      <w:pPr>
        <w:spacing w:after="130" w:line="264" w:lineRule="auto"/>
      </w:pPr>
      <w:r>
        <w:t>Zum selben Vorgang sind ein Aufsichtsverfahren beim BfDI (A</w:t>
      </w:r>
      <w:r>
        <w:t xml:space="preserve">z. wie oben) sowie Petitionsverfahren beim Deutschen Bundestag anhängig (Petition 204330, Posteingang Pet 1-21-06-99999-019389; Petition E-204159). Soweit diese Stellen im Rahmen ihrer gesetzlichen Befugnisse (§ 16 BDSG; Art. 45c GG i.V.m. dem Gesetz über </w:t>
      </w:r>
      <w:r>
        <w:t>die Befugnisse des Petitionsausschusses) Auskünfte oder Unterlagen – auch aus der Gerichtsakte – erbitten, bestehen meinerseits keine datenschutzrechtlichen Einwände; meine Einwilligung hierzu erkläre ich ausdrücklich.</w:t>
      </w:r>
    </w:p>
    <w:p w14:paraId="10DB8096" w14:textId="77777777" w:rsidR="00340D32" w:rsidRDefault="00F40B11">
      <w:pPr>
        <w:pStyle w:val="Heading2"/>
      </w:pPr>
      <w:r>
        <w:t>6. Weiteres Vorgehen; Bitte um Aktene</w:t>
      </w:r>
      <w:r>
        <w:t>insicht vor der Klagebegründung</w:t>
      </w:r>
    </w:p>
    <w:p w14:paraId="4FE0B250" w14:textId="650D9E8B" w:rsidR="00340D32" w:rsidRDefault="00F40B11">
      <w:pPr>
        <w:spacing w:after="130" w:line="264" w:lineRule="auto"/>
      </w:pPr>
      <w:r>
        <w:t xml:space="preserve">Die umfassende Klagebegründung mit Neufassung der Klageanträge werde ich bis zum </w:t>
      </w:r>
      <w:r w:rsidR="00C15B7E">
        <w:rPr>
          <w:lang w:val="de-DE"/>
        </w:rPr>
        <w:t>10</w:t>
      </w:r>
      <w:r>
        <w:t>.0</w:t>
      </w:r>
      <w:r w:rsidR="00C15B7E" w:rsidRPr="00C15B7E">
        <w:rPr>
          <w:lang w:val="de-DE"/>
        </w:rPr>
        <w:t>9</w:t>
      </w:r>
      <w:r>
        <w:t>.2026 einreichen. Ich bitte, mir zuvor die mit Schreiben vom 08.07.2026 beantragte Akteneinsicht (§ 100 VwGO) in die Gerichtsakte einschli</w:t>
      </w:r>
      <w:r>
        <w:t>eßlich des übermittelten Verwaltungsvorgangs zu gewähren, und rege an, bis zum Eingang dieses Schriftsatzes keine das Verfahren abschließende Entscheidung zu treffen. Sollte das Gericht eine andere Frist für sachgerecht halten, bitte ich um entsprechende F</w:t>
      </w:r>
      <w:r>
        <w:t>ristsetzung.</w:t>
      </w:r>
    </w:p>
    <w:p w14:paraId="7A258D43" w14:textId="77777777" w:rsidR="00340D32" w:rsidRDefault="00F40B11">
      <w:pPr>
        <w:spacing w:after="150" w:line="264" w:lineRule="auto"/>
      </w:pPr>
      <w:r>
        <w:t>Ich bitte um kurze Bestätigung des Eingangs dieses Schreibens.</w:t>
      </w:r>
    </w:p>
    <w:p w14:paraId="0DA93A41" w14:textId="77777777" w:rsidR="00340D32" w:rsidRDefault="00F40B11">
      <w:pPr>
        <w:spacing w:after="200" w:line="264" w:lineRule="auto"/>
      </w:pPr>
      <w:r>
        <w:t>Mit freundlichen Grüßen</w:t>
      </w:r>
    </w:p>
    <w:p w14:paraId="302C8D48" w14:textId="77777777" w:rsidR="00340D32" w:rsidRDefault="00F40B11">
      <w:pPr>
        <w:spacing w:after="150" w:line="264" w:lineRule="auto"/>
      </w:pPr>
      <w:r>
        <w:t>________________________ (Dr. Artiom A. Kovnatsky)</w:t>
      </w:r>
    </w:p>
    <w:p w14:paraId="3834C971" w14:textId="77777777" w:rsidR="00340D32" w:rsidRDefault="00F40B11">
      <w:pPr>
        <w:spacing w:after="130" w:line="264" w:lineRule="auto"/>
      </w:pPr>
      <w:r>
        <w:rPr>
          <w:b/>
          <w:bCs/>
        </w:rPr>
        <w:t xml:space="preserve">Anlagen: </w:t>
      </w:r>
      <w:r>
        <w:t>1–4 (wie unter Ziffer 3 bezeichnet).</w:t>
      </w:r>
    </w:p>
    <w:sectPr w:rsidR="00340D3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A61AC" w14:textId="77777777" w:rsidR="00F40B11" w:rsidRDefault="00F40B11">
      <w:r>
        <w:separator/>
      </w:r>
    </w:p>
  </w:endnote>
  <w:endnote w:type="continuationSeparator" w:id="0">
    <w:p w14:paraId="0C05D65B" w14:textId="77777777" w:rsidR="00F40B11" w:rsidRDefault="00F40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A4761" w14:textId="77777777" w:rsidR="00340D32" w:rsidRDefault="00F40B11">
    <w:pPr>
      <w:pBdr>
        <w:top w:val="single" w:sz="4" w:space="6" w:color="CCCCCC"/>
      </w:pBdr>
      <w:tabs>
        <w:tab w:val="right" w:pos="9026"/>
      </w:tabs>
    </w:pPr>
    <w:r>
      <w:rPr>
        <w:color w:val="888888"/>
        <w:sz w:val="16"/>
        <w:szCs w:val="16"/>
      </w:rPr>
      <w:t>Schreiben vom 12.07.2026 – VG 2 K 202/26 / VG 2 L 201/26</w:t>
    </w:r>
    <w:r>
      <w:rPr>
        <w:sz w:val="16"/>
        <w:szCs w:val="16"/>
      </w:rPr>
      <w:tab/>
    </w:r>
    <w:r>
      <w:rPr>
        <w:color w:val="888888"/>
        <w:sz w:val="16"/>
        <w:szCs w:val="16"/>
      </w:rPr>
      <w:t xml:space="preserve">Seite </w:t>
    </w:r>
    <w:r>
      <w:rPr>
        <w:color w:val="888888"/>
        <w:sz w:val="16"/>
        <w:szCs w:val="16"/>
      </w:rPr>
      <w:fldChar w:fldCharType="begin"/>
    </w:r>
    <w:r>
      <w:rPr>
        <w:color w:val="888888"/>
        <w:sz w:val="16"/>
        <w:szCs w:val="16"/>
      </w:rPr>
      <w:instrText>PAGE</w:instrText>
    </w:r>
    <w:r>
      <w:rPr>
        <w:color w:val="888888"/>
        <w:sz w:val="16"/>
        <w:szCs w:val="16"/>
      </w:rPr>
      <w:fldChar w:fldCharType="separate"/>
    </w:r>
    <w:r w:rsidR="00EC4C70">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EC4C70">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B54E3" w14:textId="77777777" w:rsidR="00F40B11" w:rsidRDefault="00F40B11">
      <w:r>
        <w:separator/>
      </w:r>
    </w:p>
  </w:footnote>
  <w:footnote w:type="continuationSeparator" w:id="0">
    <w:p w14:paraId="40719548" w14:textId="77777777" w:rsidR="00F40B11" w:rsidRDefault="00F40B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0134C"/>
    <w:multiLevelType w:val="hybridMultilevel"/>
    <w:tmpl w:val="15166B44"/>
    <w:lvl w:ilvl="0" w:tplc="9D5ECA1A">
      <w:start w:val="1"/>
      <w:numFmt w:val="bullet"/>
      <w:lvlText w:val="•"/>
      <w:lvlJc w:val="left"/>
      <w:pPr>
        <w:ind w:left="540" w:hanging="280"/>
      </w:pPr>
    </w:lvl>
    <w:lvl w:ilvl="1" w:tplc="060073EE">
      <w:numFmt w:val="decimal"/>
      <w:lvlText w:val=""/>
      <w:lvlJc w:val="left"/>
    </w:lvl>
    <w:lvl w:ilvl="2" w:tplc="CFA693C8">
      <w:numFmt w:val="decimal"/>
      <w:lvlText w:val=""/>
      <w:lvlJc w:val="left"/>
    </w:lvl>
    <w:lvl w:ilvl="3" w:tplc="F1A035BA">
      <w:numFmt w:val="decimal"/>
      <w:lvlText w:val=""/>
      <w:lvlJc w:val="left"/>
    </w:lvl>
    <w:lvl w:ilvl="4" w:tplc="A714444A">
      <w:numFmt w:val="decimal"/>
      <w:lvlText w:val=""/>
      <w:lvlJc w:val="left"/>
    </w:lvl>
    <w:lvl w:ilvl="5" w:tplc="5AD61F2A">
      <w:numFmt w:val="decimal"/>
      <w:lvlText w:val=""/>
      <w:lvlJc w:val="left"/>
    </w:lvl>
    <w:lvl w:ilvl="6" w:tplc="F278980A">
      <w:numFmt w:val="decimal"/>
      <w:lvlText w:val=""/>
      <w:lvlJc w:val="left"/>
    </w:lvl>
    <w:lvl w:ilvl="7" w:tplc="4CF6CE78">
      <w:numFmt w:val="decimal"/>
      <w:lvlText w:val=""/>
      <w:lvlJc w:val="left"/>
    </w:lvl>
    <w:lvl w:ilvl="8" w:tplc="8E9802DA">
      <w:numFmt w:val="decimal"/>
      <w:lvlText w:val=""/>
      <w:lvlJc w:val="left"/>
    </w:lvl>
  </w:abstractNum>
  <w:abstractNum w:abstractNumId="1" w15:restartNumberingAfterBreak="0">
    <w:nsid w:val="78C15E33"/>
    <w:multiLevelType w:val="hybridMultilevel"/>
    <w:tmpl w:val="21B22536"/>
    <w:lvl w:ilvl="0" w:tplc="F47494F8">
      <w:start w:val="1"/>
      <w:numFmt w:val="bullet"/>
      <w:lvlText w:val="●"/>
      <w:lvlJc w:val="left"/>
      <w:pPr>
        <w:ind w:left="720" w:hanging="360"/>
      </w:pPr>
    </w:lvl>
    <w:lvl w:ilvl="1" w:tplc="950C6264">
      <w:start w:val="1"/>
      <w:numFmt w:val="bullet"/>
      <w:lvlText w:val="○"/>
      <w:lvlJc w:val="left"/>
      <w:pPr>
        <w:ind w:left="1440" w:hanging="360"/>
      </w:pPr>
    </w:lvl>
    <w:lvl w:ilvl="2" w:tplc="28186C92">
      <w:start w:val="1"/>
      <w:numFmt w:val="bullet"/>
      <w:lvlText w:val="■"/>
      <w:lvlJc w:val="left"/>
      <w:pPr>
        <w:ind w:left="2160" w:hanging="360"/>
      </w:pPr>
    </w:lvl>
    <w:lvl w:ilvl="3" w:tplc="8E3E88B8">
      <w:start w:val="1"/>
      <w:numFmt w:val="bullet"/>
      <w:lvlText w:val="●"/>
      <w:lvlJc w:val="left"/>
      <w:pPr>
        <w:ind w:left="2880" w:hanging="360"/>
      </w:pPr>
    </w:lvl>
    <w:lvl w:ilvl="4" w:tplc="9BB4C394">
      <w:start w:val="1"/>
      <w:numFmt w:val="bullet"/>
      <w:lvlText w:val="○"/>
      <w:lvlJc w:val="left"/>
      <w:pPr>
        <w:ind w:left="3600" w:hanging="360"/>
      </w:pPr>
    </w:lvl>
    <w:lvl w:ilvl="5" w:tplc="B448A016">
      <w:start w:val="1"/>
      <w:numFmt w:val="bullet"/>
      <w:lvlText w:val="■"/>
      <w:lvlJc w:val="left"/>
      <w:pPr>
        <w:ind w:left="4320" w:hanging="360"/>
      </w:pPr>
    </w:lvl>
    <w:lvl w:ilvl="6" w:tplc="1AD26196">
      <w:start w:val="1"/>
      <w:numFmt w:val="bullet"/>
      <w:lvlText w:val="●"/>
      <w:lvlJc w:val="left"/>
      <w:pPr>
        <w:ind w:left="5040" w:hanging="360"/>
      </w:pPr>
    </w:lvl>
    <w:lvl w:ilvl="7" w:tplc="4142EAD8">
      <w:start w:val="1"/>
      <w:numFmt w:val="bullet"/>
      <w:lvlText w:val="●"/>
      <w:lvlJc w:val="left"/>
      <w:pPr>
        <w:ind w:left="5760" w:hanging="360"/>
      </w:pPr>
    </w:lvl>
    <w:lvl w:ilvl="8" w:tplc="F792275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D32"/>
    <w:rsid w:val="00340D32"/>
    <w:rsid w:val="00C15B7E"/>
    <w:rsid w:val="00EC4C70"/>
    <w:rsid w:val="00F40B11"/>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decimalSymbol w:val="."/>
  <w:listSeparator w:val=","/>
  <w14:docId w14:val="5FA164E2"/>
  <w15:docId w15:val="{6A0AE8DA-962F-7340-BB55-95C64F4E4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DE" w:eastAsia="en-GB"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000000"/>
      <w:sz w:val="28"/>
      <w:szCs w:val="28"/>
    </w:rPr>
  </w:style>
  <w:style w:type="paragraph" w:styleId="Heading2">
    <w:name w:val="heading 2"/>
    <w:uiPriority w:val="9"/>
    <w:unhideWhenUsed/>
    <w:qFormat/>
    <w:pPr>
      <w:spacing w:before="200" w:after="90"/>
      <w:outlineLvl w:val="1"/>
    </w:pPr>
    <w:rPr>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886</Words>
  <Characters>5054</Characters>
  <Application>Microsoft Office Word</Application>
  <DocSecurity>0</DocSecurity>
  <Lines>42</Lines>
  <Paragraphs>11</Paragraphs>
  <ScaleCrop>false</ScaleCrop>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2026-07-12T15:39:00Z</dcterms:created>
  <dcterms:modified xsi:type="dcterms:W3CDTF">2026-07-12T15:55:00Z</dcterms:modified>
</cp:coreProperties>
</file>