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Verwaltungsgericht Berlin</w:t>
        <w:br/>
        <w:t>Az.: VG 2 K 202/26</w:t>
      </w:r>
    </w:p>
    <w:p>
      <w:r>
        <w:rPr>
          <w:b/>
        </w:rPr>
        <w:t>Ergänzung zum Antrag auf Akteneinsicht und auf Vorlage der vollständigen Behördenakte</w:t>
      </w:r>
    </w:p>
    <w:p>
      <w:r>
        <w:br/>
        <w:t>Der Kläger beantragt ergänzend,</w:t>
        <w:br/>
        <w:br/>
        <w:t>1. den Beklagten zu verpflichten, die vollständige Behördenakte (§§ 99, 100 VwGO) vorzulegen.</w:t>
        <w:br/>
        <w:br/>
        <w:t>2. Die Akte hat lückenlos sämtliche Unterlagen zum Vorgang sowie alle zugehörigen elektronischen Informationen zu umfassen.</w:t>
        <w:br/>
        <w:br/>
        <w:t>3. Der vorzulegende Zeitraum soll sämtliche Unterlagen vom ersten bekannten Kontakt</w:t>
        <w:br/>
        <w:t>(21.09.2025, 21:13 Uhr; hilfsweise ab 09.09.2025, 09:09 Uhr CET)</w:t>
        <w:br/>
        <w:t>bis mindestens 22.07.2026, 22:22 Uhr CET umfassen.</w:t>
        <w:br/>
        <w:br/>
        <w:t>4. Die Akte soll insbesondere enthalten:</w:t>
        <w:br/>
        <w:br/>
        <w:t>• sämtliche E‑Mails einschließlich Metadaten,</w:t>
        <w:br/>
        <w:t>• sämtliche Faxe einschließlich Sende- und Empfangsprotokolle,</w:t>
        <w:br/>
        <w:t>• sämtliche Posteingänge und Einschreiben einschließlich Zustellnachweise,</w:t>
        <w:br/>
        <w:t>• sämtliche internen Vermerke, Handakten und Stellungnahmen,</w:t>
        <w:br/>
        <w:t>• sämtliche FACIL-Tickets einschließlich Statushistorie,</w:t>
        <w:br/>
        <w:t>• sämtliche Bearbeitungs-, Workflow-, Audit- und Zugriffsprotokolle,</w:t>
        <w:br/>
        <w:t>• sämtliche Weiterleitungen zwischen Referaten,</w:t>
        <w:br/>
        <w:t>• sämtliche Lösch-, Archivierungs- und Wiederherstellungsprotokolle,</w:t>
        <w:br/>
        <w:t>• sämtliche Export-, Druck- und Synchronisationsprotokolle,</w:t>
        <w:br/>
        <w:t>• sämtliche Dateimetadaten einschließlich Originaldateinamen, Zeitstempel und Hashwerte (soweit vorhanden),</w:t>
        <w:br/>
        <w:t>• sämtliche nach Art. 15 DSGVO auskunftspflichtigen Verarbeitungsvorgänge.</w:t>
        <w:br/>
        <w:br/>
        <w:t>5. Soweit Unterlagen ganz oder teilweise fehlen oder geschwärzt werden, wird um</w:t>
        <w:br/>
        <w:t>schriftliche Angabe der jeweiligen Rechtsgrundlage, des Datums sowie der verantwortlichen Stelle gebeten.</w:t>
        <w:br/>
        <w:br/>
        <w:t>6. Ferner wird um eine ausdrückliche Bestätigung ersucht, dass die vorgelegte Behördenakte vollständig ist.</w:t>
        <w:br/>
        <w:br/>
        <w:t>Begründung</w:t>
        <w:br/>
        <w:br/>
        <w:t>Nach Auffassung des Klägers kann nur eine vollständige Behördenakte eine effektive gerichtliche Überprüfung ermöglichen. Mehrere bekannte Dokumente, Vorgänge, Bearbeiter, Ticket-IDs, Faxsendungen und sonstige Kommunikationsvorgänge sind bereits dokumentiert. Zur Vermeidung einer versehentlich unvollständigen Aktenvorlage erscheint eine ergänzende Präzisierung des Aktenumfangs sachgerecht.</w:t>
        <w:br/>
        <w:br/>
        <w:t>Als Suchhilfe werden insbesondere folgende Identifikatoren genannt:</w:t>
        <w:br/>
        <w:br/>
        <w:t>• Vorgang 759bc4c4-387d-49e7-9e16-9a2b56c9da0e</w:t>
        <w:br/>
        <w:t>• GZ R20-511.03 IFG 123-2026</w:t>
        <w:br/>
        <w:t>• GZ 505-511.03 IFG 123-2026</w:t>
        <w:br/>
        <w:t>• Name: Dr. Artiom Kovnatsky</w:t>
        <w:br/>
        <w:t>• Geburtsdatum: 20.03.1984</w:t>
        <w:br/>
        <w:t>• bekannte E-Mail-Adressen, Telefonnummern und Faxsendungen gemäß Anlagen.</w:t>
        <w:br/>
        <w:br/>
        <w:t>Anlagen</w:t>
        <w:br/>
        <w:br/>
        <w:t>Anlage A – Checkliste Behördenakte</w:t>
        <w:br/>
        <w:t>Anlage B – Kommunikationsübersicht</w:t>
        <w:br/>
        <w:t>Anlage C – Identifikatoren</w:t>
        <w:br/>
        <w:t>Anlage D – Chronologie</w:t>
        <w:br/>
        <w:t>Anlage E – Technische Anforderungen (FACIL / DSGVO)</w:t>
        <w:br/>
      </w:r>
    </w:p>
    <w:p>
      <w:r>
        <w:t>Ort, Datum</w:t>
        <w:br/>
        <w:br/>
        <w:t>______________________________</w:t>
        <w:br/>
        <w:t>Dr. Artiom Kovnatsky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